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B52420" w:rsidRDefault="00415C66" w:rsidP="00415C66">
      <w:pPr>
        <w:spacing w:line="276" w:lineRule="auto"/>
        <w:jc w:val="center"/>
        <w:rPr>
          <w:rFonts w:eastAsia="Calibri"/>
          <w:b/>
          <w:sz w:val="20"/>
          <w:szCs w:val="20"/>
        </w:rPr>
      </w:pPr>
    </w:p>
    <w:p w:rsidR="00415C66" w:rsidRPr="00B52420" w:rsidRDefault="00415C66" w:rsidP="00415C66">
      <w:pPr>
        <w:spacing w:line="276" w:lineRule="auto"/>
        <w:jc w:val="center"/>
        <w:rPr>
          <w:rFonts w:eastAsia="Calibri"/>
          <w:b/>
          <w:sz w:val="22"/>
          <w:szCs w:val="22"/>
        </w:rPr>
      </w:pPr>
      <w:r w:rsidRPr="00B52420">
        <w:rPr>
          <w:rFonts w:eastAsia="Calibri"/>
          <w:b/>
          <w:sz w:val="22"/>
          <w:szCs w:val="22"/>
        </w:rPr>
        <w:t>Tezat e masterit për diskutim publik të miratuara nga Departamenti i Mësimdhënies Lëndore</w:t>
      </w:r>
    </w:p>
    <w:p w:rsidR="00415C66" w:rsidRPr="00B52420"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4B65AD">
        <w:rPr>
          <w:rFonts w:eastAsia="Calibri"/>
          <w:b/>
          <w:sz w:val="22"/>
          <w:szCs w:val="22"/>
          <w:u w:val="single"/>
        </w:rPr>
        <w:t>0</w:t>
      </w:r>
      <w:r w:rsidR="00B7023C">
        <w:rPr>
          <w:rFonts w:eastAsia="Calibri"/>
          <w:b/>
          <w:sz w:val="22"/>
          <w:szCs w:val="22"/>
          <w:u w:val="single"/>
        </w:rPr>
        <w:t>6</w:t>
      </w:r>
      <w:r w:rsidR="00A24DEB" w:rsidRPr="00360F89">
        <w:rPr>
          <w:rFonts w:eastAsia="Calibri"/>
          <w:b/>
          <w:sz w:val="22"/>
          <w:szCs w:val="22"/>
          <w:u w:val="single"/>
        </w:rPr>
        <w:t>.</w:t>
      </w:r>
      <w:r w:rsidR="008611D1" w:rsidRPr="00360F89">
        <w:rPr>
          <w:rFonts w:eastAsia="Calibri"/>
          <w:b/>
          <w:sz w:val="22"/>
          <w:szCs w:val="22"/>
          <w:u w:val="single"/>
        </w:rPr>
        <w:t>0</w:t>
      </w:r>
      <w:r w:rsidR="00B7023C">
        <w:rPr>
          <w:rFonts w:eastAsia="Calibri"/>
          <w:b/>
          <w:sz w:val="22"/>
          <w:szCs w:val="22"/>
          <w:u w:val="single"/>
        </w:rPr>
        <w:t>3</w:t>
      </w:r>
      <w:r w:rsidRPr="00B52420">
        <w:rPr>
          <w:rFonts w:eastAsia="Calibri"/>
          <w:b/>
          <w:sz w:val="22"/>
          <w:szCs w:val="22"/>
          <w:u w:val="single"/>
        </w:rPr>
        <w:t>.202</w:t>
      </w:r>
      <w:r w:rsidR="008611D1">
        <w:rPr>
          <w:rFonts w:eastAsia="Calibri"/>
          <w:b/>
          <w:sz w:val="22"/>
          <w:szCs w:val="22"/>
          <w:u w:val="single"/>
        </w:rPr>
        <w:t>3</w:t>
      </w:r>
    </w:p>
    <w:tbl>
      <w:tblPr>
        <w:tblStyle w:val="TableGrid"/>
        <w:tblW w:w="9527" w:type="dxa"/>
        <w:jc w:val="center"/>
        <w:tblLayout w:type="fixed"/>
        <w:tblLook w:val="04A0"/>
      </w:tblPr>
      <w:tblGrid>
        <w:gridCol w:w="444"/>
        <w:gridCol w:w="1440"/>
        <w:gridCol w:w="1260"/>
        <w:gridCol w:w="3063"/>
        <w:gridCol w:w="1166"/>
        <w:gridCol w:w="2154"/>
      </w:tblGrid>
      <w:tr w:rsidR="00415C66" w:rsidRPr="00B52420" w:rsidTr="009E10C9">
        <w:trPr>
          <w:trHeight w:val="137"/>
          <w:jc w:val="center"/>
        </w:trPr>
        <w:tc>
          <w:tcPr>
            <w:tcW w:w="9527" w:type="dxa"/>
            <w:gridSpan w:val="6"/>
            <w:noWrap/>
            <w:hideMark/>
          </w:tcPr>
          <w:p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rsidTr="009A6318">
        <w:trPr>
          <w:trHeight w:val="137"/>
          <w:jc w:val="center"/>
        </w:trPr>
        <w:tc>
          <w:tcPr>
            <w:tcW w:w="444" w:type="dxa"/>
            <w:noWrap/>
            <w:hideMark/>
          </w:tcPr>
          <w:p w:rsidR="00415C66" w:rsidRPr="00B52420" w:rsidRDefault="00415C66" w:rsidP="006C72B3">
            <w:pPr>
              <w:rPr>
                <w:color w:val="000000"/>
                <w:sz w:val="20"/>
                <w:szCs w:val="20"/>
              </w:rPr>
            </w:pPr>
            <w:r w:rsidRPr="00B52420">
              <w:rPr>
                <w:color w:val="000000"/>
                <w:sz w:val="20"/>
                <w:szCs w:val="20"/>
              </w:rPr>
              <w:t>#</w:t>
            </w:r>
          </w:p>
        </w:tc>
        <w:tc>
          <w:tcPr>
            <w:tcW w:w="1440" w:type="dxa"/>
            <w:noWrap/>
            <w:hideMark/>
          </w:tcPr>
          <w:p w:rsidR="00415C66" w:rsidRPr="00B52420" w:rsidRDefault="00415C66" w:rsidP="006C72B3">
            <w:pPr>
              <w:jc w:val="center"/>
              <w:rPr>
                <w:b/>
                <w:color w:val="000000"/>
                <w:sz w:val="20"/>
                <w:szCs w:val="20"/>
              </w:rPr>
            </w:pPr>
            <w:r w:rsidRPr="00B52420">
              <w:rPr>
                <w:b/>
                <w:color w:val="000000"/>
                <w:sz w:val="20"/>
                <w:szCs w:val="20"/>
              </w:rPr>
              <w:t>Kandidati</w:t>
            </w:r>
          </w:p>
        </w:tc>
        <w:tc>
          <w:tcPr>
            <w:tcW w:w="1260" w:type="dxa"/>
            <w:noWrap/>
            <w:hideMark/>
          </w:tcPr>
          <w:p w:rsidR="00415C66" w:rsidRPr="00B52420" w:rsidRDefault="00415C66" w:rsidP="006C72B3">
            <w:pPr>
              <w:jc w:val="center"/>
              <w:rPr>
                <w:b/>
                <w:color w:val="000000"/>
                <w:sz w:val="20"/>
                <w:szCs w:val="20"/>
              </w:rPr>
            </w:pPr>
            <w:r w:rsidRPr="00B52420">
              <w:rPr>
                <w:b/>
                <w:color w:val="000000"/>
                <w:sz w:val="20"/>
                <w:szCs w:val="20"/>
              </w:rPr>
              <w:t>Specializimi</w:t>
            </w:r>
          </w:p>
        </w:tc>
        <w:tc>
          <w:tcPr>
            <w:tcW w:w="3063" w:type="dxa"/>
            <w:noWrap/>
            <w:hideMark/>
          </w:tcPr>
          <w:p w:rsidR="00415C66" w:rsidRPr="00B52420" w:rsidRDefault="00415C66" w:rsidP="006C72B3">
            <w:pPr>
              <w:jc w:val="center"/>
              <w:rPr>
                <w:b/>
                <w:color w:val="000000"/>
                <w:sz w:val="20"/>
                <w:szCs w:val="20"/>
              </w:rPr>
            </w:pPr>
            <w:r w:rsidRPr="00B52420">
              <w:rPr>
                <w:b/>
                <w:color w:val="000000"/>
                <w:sz w:val="20"/>
                <w:szCs w:val="20"/>
              </w:rPr>
              <w:t>Tema e punimit</w:t>
            </w:r>
          </w:p>
        </w:tc>
        <w:tc>
          <w:tcPr>
            <w:tcW w:w="3320" w:type="dxa"/>
            <w:gridSpan w:val="2"/>
            <w:noWrap/>
            <w:hideMark/>
          </w:tcPr>
          <w:p w:rsidR="00415C66" w:rsidRPr="00B52420" w:rsidRDefault="00415C66" w:rsidP="006C72B3">
            <w:pPr>
              <w:jc w:val="center"/>
              <w:rPr>
                <w:b/>
                <w:color w:val="000000"/>
                <w:sz w:val="20"/>
                <w:szCs w:val="20"/>
              </w:rPr>
            </w:pPr>
            <w:r w:rsidRPr="00B52420">
              <w:rPr>
                <w:b/>
                <w:color w:val="000000"/>
                <w:sz w:val="20"/>
                <w:szCs w:val="20"/>
              </w:rPr>
              <w:t>Komisioni</w:t>
            </w:r>
          </w:p>
        </w:tc>
      </w:tr>
      <w:tr w:rsidR="001564E7" w:rsidRPr="00B52420" w:rsidTr="009A6318">
        <w:trPr>
          <w:trHeight w:val="224"/>
          <w:jc w:val="center"/>
        </w:trPr>
        <w:tc>
          <w:tcPr>
            <w:tcW w:w="444" w:type="dxa"/>
            <w:vMerge w:val="restart"/>
            <w:vAlign w:val="center"/>
          </w:tcPr>
          <w:p w:rsidR="001564E7" w:rsidRPr="00B52420" w:rsidRDefault="001564E7" w:rsidP="001564E7">
            <w:pPr>
              <w:jc w:val="center"/>
              <w:rPr>
                <w:color w:val="000000"/>
                <w:sz w:val="20"/>
                <w:szCs w:val="20"/>
              </w:rPr>
            </w:pPr>
            <w:r w:rsidRPr="00B52420">
              <w:rPr>
                <w:color w:val="000000"/>
                <w:sz w:val="20"/>
                <w:szCs w:val="20"/>
              </w:rPr>
              <w:t>1</w:t>
            </w:r>
          </w:p>
        </w:tc>
        <w:tc>
          <w:tcPr>
            <w:tcW w:w="1440" w:type="dxa"/>
            <w:vMerge w:val="restart"/>
            <w:vAlign w:val="center"/>
          </w:tcPr>
          <w:p w:rsidR="001564E7" w:rsidRPr="00B52420" w:rsidRDefault="00465CB4" w:rsidP="001564E7">
            <w:pPr>
              <w:jc w:val="center"/>
              <w:rPr>
                <w:color w:val="000000"/>
                <w:sz w:val="20"/>
                <w:szCs w:val="20"/>
              </w:rPr>
            </w:pPr>
            <w:r>
              <w:rPr>
                <w:color w:val="000000"/>
                <w:sz w:val="20"/>
                <w:szCs w:val="20"/>
              </w:rPr>
              <w:t>AriantBujupi</w:t>
            </w:r>
          </w:p>
        </w:tc>
        <w:tc>
          <w:tcPr>
            <w:tcW w:w="1260" w:type="dxa"/>
            <w:vMerge w:val="restart"/>
            <w:vAlign w:val="center"/>
          </w:tcPr>
          <w:p w:rsidR="001564E7" w:rsidRDefault="001564E7" w:rsidP="001564E7">
            <w:pPr>
              <w:jc w:val="center"/>
              <w:rPr>
                <w:color w:val="000000"/>
                <w:sz w:val="20"/>
                <w:szCs w:val="20"/>
              </w:rPr>
            </w:pPr>
            <w:r w:rsidRPr="00B52420">
              <w:rPr>
                <w:color w:val="000000"/>
                <w:sz w:val="20"/>
                <w:szCs w:val="20"/>
              </w:rPr>
              <w:t xml:space="preserve">Mës. </w:t>
            </w:r>
          </w:p>
          <w:p w:rsidR="001564E7" w:rsidRPr="00B52420" w:rsidRDefault="00465CB4" w:rsidP="001564E7">
            <w:pPr>
              <w:jc w:val="center"/>
              <w:rPr>
                <w:color w:val="000000"/>
                <w:sz w:val="20"/>
                <w:szCs w:val="20"/>
              </w:rPr>
            </w:pPr>
            <w:r>
              <w:rPr>
                <w:color w:val="000000"/>
                <w:sz w:val="20"/>
                <w:szCs w:val="20"/>
              </w:rPr>
              <w:t>Matematik</w:t>
            </w:r>
            <w:r w:rsidRPr="00B52420">
              <w:rPr>
                <w:color w:val="000000"/>
                <w:sz w:val="20"/>
                <w:szCs w:val="20"/>
              </w:rPr>
              <w:t>ë</w:t>
            </w:r>
          </w:p>
        </w:tc>
        <w:tc>
          <w:tcPr>
            <w:tcW w:w="3063" w:type="dxa"/>
            <w:vMerge w:val="restart"/>
            <w:vAlign w:val="center"/>
          </w:tcPr>
          <w:p w:rsidR="00465CB4" w:rsidRPr="00465CB4" w:rsidRDefault="00465CB4" w:rsidP="00465CB4">
            <w:pPr>
              <w:jc w:val="center"/>
              <w:rPr>
                <w:color w:val="000000"/>
                <w:sz w:val="20"/>
                <w:szCs w:val="20"/>
              </w:rPr>
            </w:pPr>
            <w:r w:rsidRPr="00465CB4">
              <w:rPr>
                <w:color w:val="000000"/>
                <w:sz w:val="20"/>
                <w:szCs w:val="20"/>
              </w:rPr>
              <w:t>Ndikimi i përdorimit të softuerit Desmos në arritjet dhe</w:t>
            </w:r>
          </w:p>
          <w:p w:rsidR="001564E7" w:rsidRPr="00B52420" w:rsidRDefault="00465CB4" w:rsidP="00465CB4">
            <w:pPr>
              <w:jc w:val="center"/>
              <w:rPr>
                <w:color w:val="000000"/>
                <w:sz w:val="20"/>
                <w:szCs w:val="20"/>
              </w:rPr>
            </w:pPr>
            <w:r w:rsidRPr="00465CB4">
              <w:rPr>
                <w:color w:val="000000"/>
                <w:sz w:val="20"/>
                <w:szCs w:val="20"/>
              </w:rPr>
              <w:t>motivimin e nxënësve për të mësuar matematikë</w:t>
            </w:r>
          </w:p>
        </w:tc>
        <w:tc>
          <w:tcPr>
            <w:tcW w:w="1166" w:type="dxa"/>
            <w:vAlign w:val="center"/>
          </w:tcPr>
          <w:p w:rsidR="001564E7" w:rsidRPr="00B52420" w:rsidRDefault="001564E7" w:rsidP="001564E7">
            <w:pPr>
              <w:jc w:val="center"/>
              <w:rPr>
                <w:color w:val="000000"/>
                <w:sz w:val="20"/>
                <w:szCs w:val="20"/>
              </w:rPr>
            </w:pPr>
            <w:r w:rsidRPr="00B52420">
              <w:rPr>
                <w:color w:val="000000"/>
                <w:sz w:val="20"/>
                <w:szCs w:val="20"/>
              </w:rPr>
              <w:t>Kryetar/e</w:t>
            </w:r>
          </w:p>
        </w:tc>
        <w:tc>
          <w:tcPr>
            <w:tcW w:w="2154" w:type="dxa"/>
          </w:tcPr>
          <w:p w:rsidR="001564E7" w:rsidRPr="00B52420" w:rsidRDefault="00465CB4" w:rsidP="001564E7">
            <w:pPr>
              <w:rPr>
                <w:color w:val="000000"/>
                <w:sz w:val="20"/>
                <w:szCs w:val="20"/>
              </w:rPr>
            </w:pPr>
            <w:r>
              <w:rPr>
                <w:color w:val="000000"/>
                <w:sz w:val="20"/>
                <w:szCs w:val="20"/>
              </w:rPr>
              <w:t>Xhevat Krasniqi</w:t>
            </w:r>
          </w:p>
        </w:tc>
      </w:tr>
      <w:tr w:rsidR="001564E7" w:rsidRPr="00B52420" w:rsidTr="009A6318">
        <w:trPr>
          <w:trHeight w:val="476"/>
          <w:jc w:val="center"/>
        </w:trPr>
        <w:tc>
          <w:tcPr>
            <w:tcW w:w="444" w:type="dxa"/>
            <w:vMerge/>
            <w:vAlign w:val="center"/>
          </w:tcPr>
          <w:p w:rsidR="001564E7" w:rsidRPr="00B52420" w:rsidRDefault="001564E7" w:rsidP="001564E7">
            <w:pPr>
              <w:jc w:val="center"/>
              <w:rPr>
                <w:color w:val="000000"/>
                <w:sz w:val="20"/>
                <w:szCs w:val="20"/>
              </w:rPr>
            </w:pPr>
          </w:p>
        </w:tc>
        <w:tc>
          <w:tcPr>
            <w:tcW w:w="1440" w:type="dxa"/>
            <w:vMerge/>
            <w:vAlign w:val="center"/>
          </w:tcPr>
          <w:p w:rsidR="001564E7" w:rsidRPr="00B52420" w:rsidRDefault="001564E7" w:rsidP="001564E7">
            <w:pPr>
              <w:jc w:val="center"/>
              <w:rPr>
                <w:color w:val="000000"/>
                <w:sz w:val="20"/>
                <w:szCs w:val="20"/>
              </w:rPr>
            </w:pPr>
          </w:p>
        </w:tc>
        <w:tc>
          <w:tcPr>
            <w:tcW w:w="1260" w:type="dxa"/>
            <w:vMerge/>
            <w:vAlign w:val="center"/>
          </w:tcPr>
          <w:p w:rsidR="001564E7" w:rsidRPr="00B52420" w:rsidRDefault="001564E7" w:rsidP="001564E7">
            <w:pPr>
              <w:jc w:val="center"/>
              <w:rPr>
                <w:color w:val="000000"/>
                <w:sz w:val="20"/>
                <w:szCs w:val="20"/>
              </w:rPr>
            </w:pPr>
          </w:p>
        </w:tc>
        <w:tc>
          <w:tcPr>
            <w:tcW w:w="3063" w:type="dxa"/>
            <w:vMerge/>
            <w:vAlign w:val="center"/>
          </w:tcPr>
          <w:p w:rsidR="001564E7" w:rsidRPr="00B52420" w:rsidRDefault="001564E7" w:rsidP="001564E7">
            <w:pPr>
              <w:jc w:val="center"/>
              <w:rPr>
                <w:color w:val="000000"/>
                <w:sz w:val="20"/>
                <w:szCs w:val="20"/>
              </w:rPr>
            </w:pPr>
          </w:p>
        </w:tc>
        <w:tc>
          <w:tcPr>
            <w:tcW w:w="1166" w:type="dxa"/>
            <w:vAlign w:val="center"/>
          </w:tcPr>
          <w:p w:rsidR="001564E7" w:rsidRPr="00B52420" w:rsidRDefault="001564E7" w:rsidP="001564E7">
            <w:pPr>
              <w:jc w:val="center"/>
              <w:rPr>
                <w:color w:val="000000"/>
                <w:sz w:val="20"/>
                <w:szCs w:val="20"/>
              </w:rPr>
            </w:pPr>
            <w:r w:rsidRPr="00B52420">
              <w:rPr>
                <w:color w:val="000000"/>
                <w:sz w:val="20"/>
                <w:szCs w:val="20"/>
              </w:rPr>
              <w:t>Mentor/e</w:t>
            </w:r>
          </w:p>
        </w:tc>
        <w:tc>
          <w:tcPr>
            <w:tcW w:w="2154" w:type="dxa"/>
          </w:tcPr>
          <w:p w:rsidR="001564E7" w:rsidRPr="00B52420" w:rsidRDefault="00465CB4" w:rsidP="001564E7">
            <w:pPr>
              <w:rPr>
                <w:color w:val="000000"/>
                <w:sz w:val="20"/>
                <w:szCs w:val="20"/>
              </w:rPr>
            </w:pPr>
            <w:r>
              <w:rPr>
                <w:color w:val="000000"/>
                <w:sz w:val="20"/>
                <w:szCs w:val="20"/>
              </w:rPr>
              <w:t>Eda Vula</w:t>
            </w:r>
          </w:p>
        </w:tc>
      </w:tr>
      <w:tr w:rsidR="001564E7" w:rsidRPr="00B52420" w:rsidTr="009A6318">
        <w:trPr>
          <w:trHeight w:val="170"/>
          <w:jc w:val="center"/>
        </w:trPr>
        <w:tc>
          <w:tcPr>
            <w:tcW w:w="444" w:type="dxa"/>
            <w:vMerge/>
            <w:vAlign w:val="center"/>
          </w:tcPr>
          <w:p w:rsidR="001564E7" w:rsidRPr="00B52420" w:rsidRDefault="001564E7" w:rsidP="001564E7">
            <w:pPr>
              <w:jc w:val="center"/>
              <w:rPr>
                <w:color w:val="000000"/>
                <w:sz w:val="20"/>
                <w:szCs w:val="20"/>
              </w:rPr>
            </w:pPr>
          </w:p>
        </w:tc>
        <w:tc>
          <w:tcPr>
            <w:tcW w:w="1440" w:type="dxa"/>
            <w:vMerge/>
            <w:vAlign w:val="center"/>
          </w:tcPr>
          <w:p w:rsidR="001564E7" w:rsidRPr="00B52420" w:rsidRDefault="001564E7" w:rsidP="001564E7">
            <w:pPr>
              <w:jc w:val="center"/>
              <w:rPr>
                <w:color w:val="000000"/>
                <w:sz w:val="20"/>
                <w:szCs w:val="20"/>
              </w:rPr>
            </w:pPr>
          </w:p>
        </w:tc>
        <w:tc>
          <w:tcPr>
            <w:tcW w:w="1260" w:type="dxa"/>
            <w:vMerge/>
            <w:vAlign w:val="center"/>
          </w:tcPr>
          <w:p w:rsidR="001564E7" w:rsidRPr="00B52420" w:rsidRDefault="001564E7" w:rsidP="001564E7">
            <w:pPr>
              <w:jc w:val="center"/>
              <w:rPr>
                <w:color w:val="000000"/>
                <w:sz w:val="20"/>
                <w:szCs w:val="20"/>
              </w:rPr>
            </w:pPr>
          </w:p>
        </w:tc>
        <w:tc>
          <w:tcPr>
            <w:tcW w:w="3063" w:type="dxa"/>
            <w:vMerge/>
            <w:vAlign w:val="center"/>
          </w:tcPr>
          <w:p w:rsidR="001564E7" w:rsidRPr="00B52420" w:rsidRDefault="001564E7" w:rsidP="001564E7">
            <w:pPr>
              <w:jc w:val="center"/>
              <w:rPr>
                <w:color w:val="000000"/>
                <w:sz w:val="20"/>
                <w:szCs w:val="20"/>
              </w:rPr>
            </w:pPr>
          </w:p>
        </w:tc>
        <w:tc>
          <w:tcPr>
            <w:tcW w:w="1166" w:type="dxa"/>
            <w:vAlign w:val="center"/>
          </w:tcPr>
          <w:p w:rsidR="001564E7" w:rsidRPr="00B52420" w:rsidRDefault="001564E7" w:rsidP="001564E7">
            <w:pPr>
              <w:jc w:val="center"/>
              <w:rPr>
                <w:color w:val="000000"/>
                <w:sz w:val="20"/>
                <w:szCs w:val="20"/>
              </w:rPr>
            </w:pPr>
            <w:r w:rsidRPr="00B52420">
              <w:rPr>
                <w:color w:val="000000"/>
                <w:sz w:val="20"/>
                <w:szCs w:val="20"/>
              </w:rPr>
              <w:t>Anetar/e</w:t>
            </w:r>
          </w:p>
        </w:tc>
        <w:tc>
          <w:tcPr>
            <w:tcW w:w="2154" w:type="dxa"/>
          </w:tcPr>
          <w:p w:rsidR="001564E7" w:rsidRPr="00B52420" w:rsidRDefault="00465CB4" w:rsidP="001564E7">
            <w:pPr>
              <w:rPr>
                <w:color w:val="000000"/>
                <w:sz w:val="20"/>
                <w:szCs w:val="20"/>
              </w:rPr>
            </w:pPr>
            <w:r>
              <w:rPr>
                <w:color w:val="000000"/>
                <w:sz w:val="20"/>
                <w:szCs w:val="20"/>
              </w:rPr>
              <w:t>Kyvete Shatri</w:t>
            </w:r>
          </w:p>
        </w:tc>
      </w:tr>
      <w:tr w:rsidR="001564E7" w:rsidRPr="00B52420" w:rsidTr="009A6318">
        <w:trPr>
          <w:trHeight w:val="332"/>
          <w:jc w:val="center"/>
        </w:trPr>
        <w:tc>
          <w:tcPr>
            <w:tcW w:w="444" w:type="dxa"/>
            <w:vMerge w:val="restart"/>
            <w:vAlign w:val="center"/>
          </w:tcPr>
          <w:p w:rsidR="001564E7" w:rsidRPr="00B52420" w:rsidRDefault="001564E7" w:rsidP="001564E7">
            <w:pPr>
              <w:jc w:val="center"/>
              <w:rPr>
                <w:color w:val="000000"/>
                <w:sz w:val="20"/>
                <w:szCs w:val="20"/>
              </w:rPr>
            </w:pPr>
            <w:r w:rsidRPr="00B52420">
              <w:rPr>
                <w:color w:val="000000"/>
                <w:sz w:val="20"/>
                <w:szCs w:val="20"/>
              </w:rPr>
              <w:t>2</w:t>
            </w:r>
          </w:p>
        </w:tc>
        <w:tc>
          <w:tcPr>
            <w:tcW w:w="1440" w:type="dxa"/>
            <w:vMerge w:val="restart"/>
            <w:vAlign w:val="center"/>
          </w:tcPr>
          <w:p w:rsidR="001564E7" w:rsidRPr="00B52420" w:rsidRDefault="00465CB4" w:rsidP="001564E7">
            <w:pPr>
              <w:jc w:val="center"/>
              <w:rPr>
                <w:color w:val="000000"/>
                <w:sz w:val="20"/>
                <w:szCs w:val="20"/>
              </w:rPr>
            </w:pPr>
            <w:r>
              <w:rPr>
                <w:color w:val="000000"/>
                <w:sz w:val="20"/>
                <w:szCs w:val="20"/>
              </w:rPr>
              <w:t>Rezarta Shatri</w:t>
            </w:r>
          </w:p>
        </w:tc>
        <w:tc>
          <w:tcPr>
            <w:tcW w:w="1260" w:type="dxa"/>
            <w:vMerge w:val="restart"/>
            <w:vAlign w:val="center"/>
          </w:tcPr>
          <w:p w:rsidR="003C1B17" w:rsidRDefault="003C1B17" w:rsidP="003C1B17">
            <w:pPr>
              <w:jc w:val="center"/>
              <w:rPr>
                <w:color w:val="000000"/>
                <w:sz w:val="20"/>
                <w:szCs w:val="20"/>
              </w:rPr>
            </w:pPr>
            <w:r w:rsidRPr="00B52420">
              <w:rPr>
                <w:color w:val="000000"/>
                <w:sz w:val="20"/>
                <w:szCs w:val="20"/>
              </w:rPr>
              <w:t xml:space="preserve">Mës. </w:t>
            </w:r>
          </w:p>
          <w:p w:rsidR="001564E7" w:rsidRPr="00B52420" w:rsidRDefault="00465CB4" w:rsidP="001564E7">
            <w:pPr>
              <w:rPr>
                <w:color w:val="000000"/>
                <w:sz w:val="20"/>
                <w:szCs w:val="20"/>
              </w:rPr>
            </w:pPr>
            <w:r>
              <w:rPr>
                <w:color w:val="000000"/>
                <w:sz w:val="20"/>
                <w:szCs w:val="20"/>
              </w:rPr>
              <w:t>Tekn.&amp;TIK</w:t>
            </w:r>
          </w:p>
        </w:tc>
        <w:tc>
          <w:tcPr>
            <w:tcW w:w="3063" w:type="dxa"/>
            <w:vMerge w:val="restart"/>
            <w:vAlign w:val="center"/>
          </w:tcPr>
          <w:p w:rsidR="00465CB4" w:rsidRPr="00465CB4" w:rsidRDefault="00465CB4" w:rsidP="00465CB4">
            <w:pPr>
              <w:jc w:val="center"/>
              <w:rPr>
                <w:color w:val="000000"/>
                <w:sz w:val="20"/>
                <w:szCs w:val="20"/>
              </w:rPr>
            </w:pPr>
            <w:r w:rsidRPr="00465CB4">
              <w:rPr>
                <w:color w:val="000000"/>
                <w:sz w:val="20"/>
                <w:szCs w:val="20"/>
              </w:rPr>
              <w:t>Vështirësitë gjatë mësimit në distancë në lëndën e TIK-ut në kohën e pandemisë</w:t>
            </w:r>
          </w:p>
          <w:p w:rsidR="001564E7" w:rsidRPr="00B52420" w:rsidRDefault="00465CB4" w:rsidP="00465CB4">
            <w:pPr>
              <w:jc w:val="center"/>
              <w:rPr>
                <w:color w:val="000000"/>
                <w:sz w:val="20"/>
                <w:szCs w:val="20"/>
              </w:rPr>
            </w:pPr>
            <w:r w:rsidRPr="00465CB4">
              <w:rPr>
                <w:color w:val="000000"/>
                <w:sz w:val="20"/>
                <w:szCs w:val="20"/>
              </w:rPr>
              <w:t>COVID-19</w:t>
            </w:r>
          </w:p>
        </w:tc>
        <w:tc>
          <w:tcPr>
            <w:tcW w:w="1166" w:type="dxa"/>
          </w:tcPr>
          <w:p w:rsidR="001564E7" w:rsidRPr="00B52420" w:rsidRDefault="001564E7" w:rsidP="001564E7">
            <w:pPr>
              <w:jc w:val="center"/>
              <w:rPr>
                <w:color w:val="000000"/>
                <w:sz w:val="20"/>
                <w:szCs w:val="20"/>
              </w:rPr>
            </w:pPr>
            <w:r w:rsidRPr="00B52420">
              <w:rPr>
                <w:color w:val="000000"/>
                <w:sz w:val="20"/>
                <w:szCs w:val="20"/>
              </w:rPr>
              <w:t>Kryetar/e</w:t>
            </w:r>
          </w:p>
        </w:tc>
        <w:tc>
          <w:tcPr>
            <w:tcW w:w="2154" w:type="dxa"/>
          </w:tcPr>
          <w:p w:rsidR="001564E7" w:rsidRPr="00B52420" w:rsidRDefault="00465CB4" w:rsidP="001564E7">
            <w:pPr>
              <w:rPr>
                <w:color w:val="000000"/>
                <w:sz w:val="20"/>
                <w:szCs w:val="20"/>
              </w:rPr>
            </w:pPr>
            <w:r>
              <w:rPr>
                <w:color w:val="000000"/>
                <w:sz w:val="20"/>
                <w:szCs w:val="20"/>
              </w:rPr>
              <w:t>FlorentBunjaku</w:t>
            </w:r>
          </w:p>
        </w:tc>
      </w:tr>
      <w:tr w:rsidR="001564E7" w:rsidRPr="00B52420" w:rsidTr="009A6318">
        <w:trPr>
          <w:trHeight w:val="359"/>
          <w:jc w:val="center"/>
        </w:trPr>
        <w:tc>
          <w:tcPr>
            <w:tcW w:w="444" w:type="dxa"/>
            <w:vMerge/>
            <w:vAlign w:val="center"/>
          </w:tcPr>
          <w:p w:rsidR="001564E7" w:rsidRPr="00B52420" w:rsidRDefault="001564E7" w:rsidP="001564E7">
            <w:pPr>
              <w:jc w:val="center"/>
              <w:rPr>
                <w:color w:val="000000"/>
                <w:sz w:val="20"/>
                <w:szCs w:val="20"/>
              </w:rPr>
            </w:pPr>
          </w:p>
        </w:tc>
        <w:tc>
          <w:tcPr>
            <w:tcW w:w="1440" w:type="dxa"/>
            <w:vMerge/>
            <w:vAlign w:val="center"/>
          </w:tcPr>
          <w:p w:rsidR="001564E7" w:rsidRPr="00B52420" w:rsidRDefault="001564E7" w:rsidP="001564E7">
            <w:pPr>
              <w:jc w:val="center"/>
              <w:rPr>
                <w:color w:val="000000"/>
                <w:sz w:val="20"/>
                <w:szCs w:val="20"/>
              </w:rPr>
            </w:pPr>
          </w:p>
        </w:tc>
        <w:tc>
          <w:tcPr>
            <w:tcW w:w="1260" w:type="dxa"/>
            <w:vMerge/>
            <w:vAlign w:val="center"/>
          </w:tcPr>
          <w:p w:rsidR="001564E7" w:rsidRPr="00B52420" w:rsidRDefault="001564E7" w:rsidP="001564E7">
            <w:pPr>
              <w:jc w:val="center"/>
              <w:rPr>
                <w:color w:val="000000"/>
                <w:sz w:val="20"/>
                <w:szCs w:val="20"/>
              </w:rPr>
            </w:pPr>
          </w:p>
        </w:tc>
        <w:tc>
          <w:tcPr>
            <w:tcW w:w="3063" w:type="dxa"/>
            <w:vMerge/>
            <w:vAlign w:val="center"/>
          </w:tcPr>
          <w:p w:rsidR="001564E7" w:rsidRPr="00B52420" w:rsidRDefault="001564E7" w:rsidP="001564E7">
            <w:pPr>
              <w:jc w:val="center"/>
              <w:rPr>
                <w:color w:val="000000"/>
                <w:sz w:val="20"/>
                <w:szCs w:val="20"/>
              </w:rPr>
            </w:pPr>
          </w:p>
        </w:tc>
        <w:tc>
          <w:tcPr>
            <w:tcW w:w="1166" w:type="dxa"/>
          </w:tcPr>
          <w:p w:rsidR="001564E7" w:rsidRPr="00B52420" w:rsidRDefault="001564E7" w:rsidP="001564E7">
            <w:pPr>
              <w:jc w:val="center"/>
              <w:rPr>
                <w:color w:val="000000"/>
                <w:sz w:val="20"/>
                <w:szCs w:val="20"/>
              </w:rPr>
            </w:pPr>
            <w:r w:rsidRPr="00B52420">
              <w:rPr>
                <w:color w:val="000000"/>
                <w:sz w:val="20"/>
                <w:szCs w:val="20"/>
              </w:rPr>
              <w:t>Mentor/e</w:t>
            </w:r>
          </w:p>
        </w:tc>
        <w:tc>
          <w:tcPr>
            <w:tcW w:w="2154" w:type="dxa"/>
          </w:tcPr>
          <w:p w:rsidR="001564E7" w:rsidRPr="00B52420" w:rsidRDefault="00465CB4" w:rsidP="001564E7">
            <w:pPr>
              <w:rPr>
                <w:color w:val="000000"/>
                <w:sz w:val="20"/>
                <w:szCs w:val="20"/>
              </w:rPr>
            </w:pPr>
            <w:r>
              <w:rPr>
                <w:color w:val="000000"/>
                <w:sz w:val="20"/>
                <w:szCs w:val="20"/>
              </w:rPr>
              <w:t>Kastriot Buza</w:t>
            </w:r>
          </w:p>
        </w:tc>
      </w:tr>
      <w:tr w:rsidR="001564E7" w:rsidRPr="00B52420" w:rsidTr="009A6318">
        <w:trPr>
          <w:trHeight w:val="197"/>
          <w:jc w:val="center"/>
        </w:trPr>
        <w:tc>
          <w:tcPr>
            <w:tcW w:w="444" w:type="dxa"/>
            <w:vMerge/>
            <w:vAlign w:val="center"/>
          </w:tcPr>
          <w:p w:rsidR="001564E7" w:rsidRPr="00B52420" w:rsidRDefault="001564E7" w:rsidP="001564E7">
            <w:pPr>
              <w:jc w:val="center"/>
              <w:rPr>
                <w:color w:val="000000"/>
                <w:sz w:val="20"/>
                <w:szCs w:val="20"/>
              </w:rPr>
            </w:pPr>
          </w:p>
        </w:tc>
        <w:tc>
          <w:tcPr>
            <w:tcW w:w="1440" w:type="dxa"/>
            <w:vMerge/>
            <w:vAlign w:val="center"/>
          </w:tcPr>
          <w:p w:rsidR="001564E7" w:rsidRPr="00B52420" w:rsidRDefault="001564E7" w:rsidP="001564E7">
            <w:pPr>
              <w:jc w:val="center"/>
              <w:rPr>
                <w:color w:val="000000"/>
                <w:sz w:val="20"/>
                <w:szCs w:val="20"/>
              </w:rPr>
            </w:pPr>
          </w:p>
        </w:tc>
        <w:tc>
          <w:tcPr>
            <w:tcW w:w="1260" w:type="dxa"/>
            <w:vMerge/>
            <w:vAlign w:val="center"/>
          </w:tcPr>
          <w:p w:rsidR="001564E7" w:rsidRPr="00B52420" w:rsidRDefault="001564E7" w:rsidP="001564E7">
            <w:pPr>
              <w:jc w:val="center"/>
              <w:rPr>
                <w:color w:val="000000"/>
                <w:sz w:val="20"/>
                <w:szCs w:val="20"/>
              </w:rPr>
            </w:pPr>
          </w:p>
        </w:tc>
        <w:tc>
          <w:tcPr>
            <w:tcW w:w="3063" w:type="dxa"/>
            <w:vMerge/>
            <w:vAlign w:val="center"/>
          </w:tcPr>
          <w:p w:rsidR="001564E7" w:rsidRPr="00B52420" w:rsidRDefault="001564E7" w:rsidP="001564E7">
            <w:pPr>
              <w:jc w:val="center"/>
              <w:rPr>
                <w:color w:val="000000"/>
                <w:sz w:val="20"/>
                <w:szCs w:val="20"/>
              </w:rPr>
            </w:pPr>
          </w:p>
        </w:tc>
        <w:tc>
          <w:tcPr>
            <w:tcW w:w="1166" w:type="dxa"/>
          </w:tcPr>
          <w:p w:rsidR="001564E7" w:rsidRPr="00B52420" w:rsidRDefault="001564E7" w:rsidP="001564E7">
            <w:pPr>
              <w:jc w:val="center"/>
              <w:rPr>
                <w:color w:val="000000"/>
                <w:sz w:val="20"/>
                <w:szCs w:val="20"/>
              </w:rPr>
            </w:pPr>
            <w:r w:rsidRPr="00B52420">
              <w:rPr>
                <w:color w:val="000000"/>
                <w:sz w:val="20"/>
                <w:szCs w:val="20"/>
              </w:rPr>
              <w:t>Anetar/e</w:t>
            </w:r>
          </w:p>
        </w:tc>
        <w:tc>
          <w:tcPr>
            <w:tcW w:w="2154" w:type="dxa"/>
          </w:tcPr>
          <w:p w:rsidR="001564E7" w:rsidRPr="00B52420" w:rsidRDefault="00465CB4" w:rsidP="001564E7">
            <w:pPr>
              <w:rPr>
                <w:color w:val="000000"/>
                <w:sz w:val="20"/>
                <w:szCs w:val="20"/>
              </w:rPr>
            </w:pPr>
            <w:r>
              <w:rPr>
                <w:color w:val="000000"/>
                <w:sz w:val="20"/>
                <w:szCs w:val="20"/>
              </w:rPr>
              <w:t>GanimeteKulinxha</w:t>
            </w:r>
          </w:p>
        </w:tc>
      </w:tr>
    </w:tbl>
    <w:p w:rsidR="001513F3" w:rsidRDefault="001513F3"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9C08DD" w:rsidRDefault="009C08DD" w:rsidP="00622D58">
      <w:pPr>
        <w:jc w:val="center"/>
        <w:rPr>
          <w:color w:val="000000"/>
          <w:sz w:val="20"/>
          <w:szCs w:val="20"/>
        </w:rPr>
      </w:pPr>
    </w:p>
    <w:p w:rsidR="00E73206" w:rsidRDefault="00E73206" w:rsidP="00622D58">
      <w:pPr>
        <w:jc w:val="center"/>
        <w:rPr>
          <w:color w:val="000000"/>
          <w:sz w:val="20"/>
          <w:szCs w:val="20"/>
        </w:rPr>
      </w:pPr>
    </w:p>
    <w:p w:rsidR="00E73206" w:rsidRDefault="00E73206"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465CB4" w:rsidRDefault="00465CB4" w:rsidP="00622D58">
      <w:pPr>
        <w:jc w:val="center"/>
        <w:rPr>
          <w:color w:val="000000"/>
          <w:sz w:val="20"/>
          <w:szCs w:val="20"/>
        </w:rPr>
      </w:pPr>
    </w:p>
    <w:p w:rsidR="00E73206" w:rsidRDefault="00E73206" w:rsidP="00622D58">
      <w:pPr>
        <w:jc w:val="center"/>
        <w:rPr>
          <w:color w:val="000000"/>
          <w:sz w:val="20"/>
          <w:szCs w:val="20"/>
        </w:rPr>
      </w:pPr>
    </w:p>
    <w:p w:rsidR="00415C66" w:rsidRPr="00B52420" w:rsidRDefault="00041D8D" w:rsidP="00415C66">
      <w:pPr>
        <w:pStyle w:val="Heading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K</w:t>
      </w:r>
      <w:r w:rsidR="00415C66" w:rsidRPr="00B52420">
        <w:rPr>
          <w:rFonts w:ascii="Times New Roman" w:hAnsi="Times New Roman" w:cs="Times New Roman"/>
          <w:b/>
          <w:color w:val="000000" w:themeColor="text1"/>
          <w:sz w:val="20"/>
          <w:szCs w:val="20"/>
        </w:rPr>
        <w:t xml:space="preserve">andidati/ja: 1. </w:t>
      </w:r>
      <w:r w:rsidR="00465CB4">
        <w:rPr>
          <w:rFonts w:ascii="Times New Roman" w:hAnsi="Times New Roman" w:cs="Times New Roman"/>
          <w:b/>
          <w:color w:val="000000" w:themeColor="text1"/>
          <w:sz w:val="24"/>
          <w:szCs w:val="24"/>
        </w:rPr>
        <w:t>Arianit Bujupi</w:t>
      </w:r>
    </w:p>
    <w:p w:rsidR="00415C66" w:rsidRPr="00B52420" w:rsidRDefault="00415C66" w:rsidP="00415C66">
      <w:pPr>
        <w:rPr>
          <w:sz w:val="20"/>
          <w:szCs w:val="20"/>
        </w:rPr>
      </w:pPr>
    </w:p>
    <w:p w:rsidR="00465CB4" w:rsidRDefault="00415C66" w:rsidP="00465CB4">
      <w:pPr>
        <w:jc w:val="both"/>
        <w:rPr>
          <w:b/>
          <w:sz w:val="20"/>
          <w:szCs w:val="20"/>
        </w:rPr>
      </w:pPr>
      <w:r w:rsidRPr="00B52420">
        <w:rPr>
          <w:sz w:val="20"/>
          <w:szCs w:val="20"/>
        </w:rPr>
        <w:t>Tema:</w:t>
      </w:r>
      <w:r w:rsidR="00465CB4" w:rsidRPr="00465CB4">
        <w:rPr>
          <w:b/>
          <w:sz w:val="20"/>
          <w:szCs w:val="20"/>
        </w:rPr>
        <w:t>Ndikimi i përdorimit të softuerit Desmos në arritjet dhemotivimin e nxënësve për të mësuar matematikë</w:t>
      </w:r>
    </w:p>
    <w:p w:rsidR="000D2DD6" w:rsidRPr="00465CB4" w:rsidRDefault="00415C66" w:rsidP="00465CB4">
      <w:pPr>
        <w:jc w:val="center"/>
        <w:rPr>
          <w:b/>
          <w:sz w:val="20"/>
          <w:szCs w:val="20"/>
        </w:rPr>
      </w:pPr>
      <w:r w:rsidRPr="00B52420">
        <w:rPr>
          <w:b/>
          <w:color w:val="000000" w:themeColor="text1"/>
          <w:sz w:val="20"/>
          <w:szCs w:val="20"/>
        </w:rPr>
        <w:t>ABSTRAKT</w:t>
      </w:r>
    </w:p>
    <w:p w:rsidR="00100FD6" w:rsidRPr="00B52420" w:rsidRDefault="00100FD6" w:rsidP="000D2DD6">
      <w:pPr>
        <w:jc w:val="center"/>
        <w:rPr>
          <w:b/>
          <w:color w:val="000000" w:themeColor="text1"/>
          <w:sz w:val="20"/>
          <w:szCs w:val="20"/>
        </w:rPr>
      </w:pPr>
    </w:p>
    <w:p w:rsidR="00465CB4" w:rsidRPr="00465CB4" w:rsidRDefault="00465CB4" w:rsidP="00465CB4">
      <w:pPr>
        <w:jc w:val="both"/>
        <w:rPr>
          <w:bCs/>
          <w:color w:val="000000" w:themeColor="text1"/>
          <w:sz w:val="22"/>
          <w:szCs w:val="22"/>
        </w:rPr>
      </w:pPr>
      <w:r w:rsidRPr="00465CB4">
        <w:rPr>
          <w:bCs/>
          <w:color w:val="000000" w:themeColor="text1"/>
          <w:sz w:val="22"/>
          <w:szCs w:val="22"/>
        </w:rPr>
        <w:t>Shfrytëzimi i tekonologjisë është bërë i pashmangshëm në të gjitha fushat. Në fushën eedukimit, shfrtytëzimi i teknologjisë ka ndikuar dhe vazhdon të ndikoj në përmirësimin e shumëpraktikave mësimore dhe në zbatimin e shumë reformave arsimore. Përdorimi i teknologjisëndihmon për të eksploruar dhe zbuluar konceptet matematikore si dhe për të sjell ndryshime edhenë mjedisin e të nxënit. Në tregun e teknologjisë ka aplikacione të ndryshme softuerike të cilat imundësojnë këto ndryshime, e njëri nga këto është edhe softueri Desmos. Në këtë studim ështëshqyrtuar ndikimi i këtij softueri në përmirësimin e arritjeve të nxënësve në matematikë, nëveçanti zhvillimin e të kuptuarit për funksionet kuadratike, paraqitjen grafike të tyre dhezgjidhjen e problemeve. Po ashtu, në këtë studim, është shqyrtuar ndikimi i softuerit Desmos nëmotivimin e nxënësve për të mësuar matematikë. Për të marrë përgjigje për pyetjet e hulumtimitështë shfrytëzuar metodologjia e hulumtimit në veprim-bashkëpunues, me dizajn kuazi-eksperimental. Intervenimi u realizua në shkollën e mesme të lartë ‘Shaban Spahija’ në Pejë, nëdy klasa të dhjeta, ku njëra ishte klasë eksperimentale dhe tjetra klasë kontrolli. Si instrument për</w:t>
      </w:r>
    </w:p>
    <w:p w:rsidR="00465CB4" w:rsidRPr="00465CB4" w:rsidRDefault="00465CB4" w:rsidP="00465CB4">
      <w:pPr>
        <w:jc w:val="both"/>
        <w:rPr>
          <w:bCs/>
          <w:color w:val="000000" w:themeColor="text1"/>
          <w:sz w:val="22"/>
          <w:szCs w:val="22"/>
        </w:rPr>
      </w:pPr>
      <w:r w:rsidRPr="00465CB4">
        <w:rPr>
          <w:bCs/>
          <w:color w:val="000000" w:themeColor="text1"/>
          <w:sz w:val="22"/>
          <w:szCs w:val="22"/>
        </w:rPr>
        <w:t>mbledhjen e të dhënave është përdorur paratesti dhe pastesti si dhe pyetësori për nxënësit eklasës eksperimentale. Rezultatet e këtij hulumtimi treguan se nxënësit janë më të motivuar nëklasën eksperimentale dhe treguan rezultate dukshëm më të larta se sa në klasën e kontrollit.</w:t>
      </w:r>
    </w:p>
    <w:p w:rsidR="00465CB4" w:rsidRPr="00465CB4" w:rsidRDefault="00465CB4" w:rsidP="00465CB4">
      <w:pPr>
        <w:jc w:val="both"/>
        <w:rPr>
          <w:bCs/>
          <w:color w:val="000000" w:themeColor="text1"/>
          <w:sz w:val="22"/>
          <w:szCs w:val="22"/>
        </w:rPr>
      </w:pPr>
      <w:r w:rsidRPr="00465CB4">
        <w:rPr>
          <w:bCs/>
          <w:color w:val="000000" w:themeColor="text1"/>
          <w:sz w:val="22"/>
          <w:szCs w:val="22"/>
        </w:rPr>
        <w:t>Përdorimi i Desmos ndikoi në përmirësimin e nivelit të ndërveprimit, ndryshoi rolin e nxënësitnga një vëzhgues në një eksplorues të pavarur, ndërsa mësimdhënësin në një monitorues të punëssë nxënësve. Nxënësit përjetuan mbështetjen e ofruar nga softueri për të modifikuar të kuptuarite tyre kur është e nevojshme, ose për t’u siguruar që mësimi i tyre është në rrugën e duhur.</w:t>
      </w:r>
    </w:p>
    <w:p w:rsidR="00465CB4" w:rsidRDefault="00465CB4" w:rsidP="00465CB4">
      <w:pPr>
        <w:jc w:val="both"/>
        <w:rPr>
          <w:bCs/>
          <w:color w:val="000000" w:themeColor="text1"/>
          <w:sz w:val="22"/>
          <w:szCs w:val="22"/>
        </w:rPr>
      </w:pPr>
      <w:r w:rsidRPr="00465CB4">
        <w:rPr>
          <w:bCs/>
          <w:color w:val="000000" w:themeColor="text1"/>
          <w:sz w:val="22"/>
          <w:szCs w:val="22"/>
        </w:rPr>
        <w:t>Përveç kësaj, nxënësit e klasës eksperimentale ishin më të motivuar për të mësuar, ishin më tëemocionuar për të praktikuar situata të reja kur ata do të hetojnë në mënyrë automatike efektet qëndodhin kur ndryshojnë vlerat e parametrave në një funksion kuadratik.</w:t>
      </w:r>
    </w:p>
    <w:p w:rsidR="00465CB4" w:rsidRPr="00465CB4" w:rsidRDefault="00465CB4" w:rsidP="00465CB4">
      <w:pPr>
        <w:jc w:val="both"/>
        <w:rPr>
          <w:bCs/>
          <w:color w:val="000000" w:themeColor="text1"/>
          <w:sz w:val="22"/>
          <w:szCs w:val="22"/>
        </w:rPr>
      </w:pPr>
    </w:p>
    <w:p w:rsidR="005C618A" w:rsidRPr="00465CB4" w:rsidRDefault="00465CB4" w:rsidP="00465CB4">
      <w:pPr>
        <w:jc w:val="both"/>
        <w:rPr>
          <w:bCs/>
          <w:i/>
          <w:iCs/>
          <w:color w:val="000000" w:themeColor="text1"/>
          <w:sz w:val="20"/>
          <w:szCs w:val="20"/>
        </w:rPr>
      </w:pPr>
      <w:r w:rsidRPr="00465CB4">
        <w:rPr>
          <w:b/>
          <w:color w:val="000000" w:themeColor="text1"/>
          <w:sz w:val="22"/>
          <w:szCs w:val="22"/>
        </w:rPr>
        <w:t>Fjalët kyçe:</w:t>
      </w:r>
      <w:r w:rsidRPr="00465CB4">
        <w:rPr>
          <w:bCs/>
          <w:i/>
          <w:iCs/>
          <w:color w:val="000000" w:themeColor="text1"/>
          <w:sz w:val="22"/>
          <w:szCs w:val="22"/>
        </w:rPr>
        <w:t>Funksioni kuadratik, teknologjia, Desmos, arritjet e nxënësve, motivimi</w:t>
      </w: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4B65AD" w:rsidRDefault="004B65AD" w:rsidP="000D2DD6">
      <w:pPr>
        <w:jc w:val="both"/>
        <w:rPr>
          <w:bCs/>
          <w:color w:val="000000" w:themeColor="text1"/>
          <w:sz w:val="20"/>
          <w:szCs w:val="20"/>
        </w:rPr>
      </w:pPr>
    </w:p>
    <w:p w:rsidR="004B65AD" w:rsidRDefault="004B65AD" w:rsidP="000D2DD6">
      <w:pPr>
        <w:jc w:val="both"/>
        <w:rPr>
          <w:bCs/>
          <w:color w:val="000000" w:themeColor="text1"/>
          <w:sz w:val="20"/>
          <w:szCs w:val="20"/>
        </w:rPr>
      </w:pPr>
    </w:p>
    <w:p w:rsidR="004B65AD" w:rsidRDefault="004B65AD" w:rsidP="000D2DD6">
      <w:pPr>
        <w:jc w:val="both"/>
        <w:rPr>
          <w:bCs/>
          <w:color w:val="000000" w:themeColor="text1"/>
          <w:sz w:val="20"/>
          <w:szCs w:val="20"/>
        </w:rPr>
      </w:pPr>
    </w:p>
    <w:p w:rsidR="004B65AD" w:rsidRDefault="004B65AD" w:rsidP="000D2DD6">
      <w:pPr>
        <w:jc w:val="both"/>
        <w:rPr>
          <w:bCs/>
          <w:color w:val="000000" w:themeColor="text1"/>
          <w:sz w:val="20"/>
          <w:szCs w:val="20"/>
        </w:rPr>
      </w:pPr>
    </w:p>
    <w:p w:rsidR="004B65AD" w:rsidRDefault="004B65AD"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5C618A" w:rsidRDefault="005C618A" w:rsidP="000D2DD6">
      <w:pPr>
        <w:jc w:val="both"/>
        <w:rPr>
          <w:bCs/>
          <w:color w:val="000000" w:themeColor="text1"/>
          <w:sz w:val="20"/>
          <w:szCs w:val="20"/>
        </w:rPr>
      </w:pPr>
    </w:p>
    <w:p w:rsidR="003C1B17" w:rsidRDefault="003C1B17" w:rsidP="000D2DD6">
      <w:pPr>
        <w:jc w:val="both"/>
        <w:rPr>
          <w:bCs/>
          <w:color w:val="000000" w:themeColor="text1"/>
          <w:sz w:val="20"/>
          <w:szCs w:val="20"/>
        </w:rPr>
      </w:pPr>
    </w:p>
    <w:p w:rsidR="00BA2562" w:rsidRDefault="00BA2562" w:rsidP="000D2DD6">
      <w:pPr>
        <w:jc w:val="both"/>
        <w:rPr>
          <w:bCs/>
          <w:color w:val="000000" w:themeColor="text1"/>
          <w:sz w:val="20"/>
          <w:szCs w:val="20"/>
        </w:rPr>
      </w:pPr>
    </w:p>
    <w:p w:rsidR="00BA2562" w:rsidRDefault="00BA2562" w:rsidP="000D2DD6">
      <w:pPr>
        <w:jc w:val="both"/>
        <w:rPr>
          <w:bCs/>
          <w:color w:val="000000" w:themeColor="text1"/>
          <w:sz w:val="20"/>
          <w:szCs w:val="20"/>
        </w:rPr>
      </w:pPr>
    </w:p>
    <w:p w:rsidR="00BA2562" w:rsidRDefault="00BA2562" w:rsidP="000D2DD6">
      <w:pPr>
        <w:jc w:val="both"/>
        <w:rPr>
          <w:bCs/>
          <w:color w:val="000000" w:themeColor="text1"/>
          <w:sz w:val="20"/>
          <w:szCs w:val="20"/>
        </w:rPr>
      </w:pPr>
    </w:p>
    <w:p w:rsidR="00BA2562" w:rsidRDefault="00BA2562" w:rsidP="000D2DD6">
      <w:pPr>
        <w:jc w:val="both"/>
        <w:rPr>
          <w:bCs/>
          <w:color w:val="000000" w:themeColor="text1"/>
          <w:sz w:val="20"/>
          <w:szCs w:val="20"/>
        </w:rPr>
      </w:pPr>
    </w:p>
    <w:p w:rsidR="00BA2562" w:rsidRDefault="00BA2562" w:rsidP="000D2DD6">
      <w:pPr>
        <w:jc w:val="both"/>
        <w:rPr>
          <w:bCs/>
          <w:color w:val="000000" w:themeColor="text1"/>
          <w:sz w:val="20"/>
          <w:szCs w:val="20"/>
        </w:rPr>
      </w:pPr>
    </w:p>
    <w:p w:rsidR="000D6250" w:rsidRPr="00B52420" w:rsidRDefault="00972CDE" w:rsidP="00093F8C">
      <w:pPr>
        <w:pStyle w:val="Heading1"/>
        <w:rPr>
          <w:rFonts w:ascii="Times New Roman" w:hAnsi="Times New Roman" w:cs="Times New Roman"/>
          <w:b/>
          <w:color w:val="000000" w:themeColor="text1"/>
          <w:sz w:val="20"/>
          <w:szCs w:val="20"/>
        </w:rPr>
      </w:pPr>
      <w:r w:rsidRPr="00B52420">
        <w:rPr>
          <w:rFonts w:ascii="Times New Roman" w:hAnsi="Times New Roman" w:cs="Times New Roman"/>
          <w:b/>
          <w:color w:val="000000" w:themeColor="text1"/>
          <w:sz w:val="20"/>
          <w:szCs w:val="20"/>
        </w:rPr>
        <w:lastRenderedPageBreak/>
        <w:t>K</w:t>
      </w:r>
      <w:r w:rsidR="00415C66" w:rsidRPr="00B52420">
        <w:rPr>
          <w:rFonts w:ascii="Times New Roman" w:hAnsi="Times New Roman" w:cs="Times New Roman"/>
          <w:b/>
          <w:color w:val="000000" w:themeColor="text1"/>
          <w:sz w:val="20"/>
          <w:szCs w:val="20"/>
        </w:rPr>
        <w:t xml:space="preserve">andidati/ja: 2. </w:t>
      </w:r>
      <w:r w:rsidR="00D82BF1">
        <w:rPr>
          <w:rFonts w:ascii="Times New Roman" w:hAnsi="Times New Roman" w:cs="Times New Roman"/>
          <w:b/>
          <w:color w:val="000000" w:themeColor="text1"/>
          <w:sz w:val="20"/>
          <w:szCs w:val="20"/>
        </w:rPr>
        <w:t>Rezarta Shatri</w:t>
      </w:r>
    </w:p>
    <w:p w:rsidR="00093F8C" w:rsidRPr="00B52420" w:rsidRDefault="00093F8C" w:rsidP="00093F8C">
      <w:pPr>
        <w:rPr>
          <w:sz w:val="20"/>
          <w:szCs w:val="20"/>
          <w:lang w:bidi="ar-SA"/>
        </w:rPr>
      </w:pPr>
    </w:p>
    <w:p w:rsidR="003C1B17" w:rsidRDefault="00415C66" w:rsidP="00D82BF1">
      <w:pPr>
        <w:pStyle w:val="Heading1"/>
        <w:rPr>
          <w:rFonts w:ascii="Times New Roman" w:hAnsi="Times New Roman" w:cs="Times New Roman"/>
          <w:b/>
          <w:color w:val="000000" w:themeColor="text1"/>
          <w:sz w:val="20"/>
          <w:szCs w:val="20"/>
        </w:rPr>
      </w:pPr>
      <w:r w:rsidRPr="00785B26">
        <w:rPr>
          <w:rFonts w:ascii="Times New Roman" w:hAnsi="Times New Roman" w:cs="Times New Roman"/>
          <w:b/>
          <w:color w:val="000000" w:themeColor="text1"/>
          <w:sz w:val="20"/>
          <w:szCs w:val="20"/>
        </w:rPr>
        <w:t xml:space="preserve">Tema: </w:t>
      </w:r>
      <w:r w:rsidR="00D82BF1" w:rsidRPr="00D82BF1">
        <w:rPr>
          <w:rFonts w:ascii="Times New Roman" w:hAnsi="Times New Roman" w:cs="Times New Roman"/>
          <w:b/>
          <w:color w:val="000000" w:themeColor="text1"/>
          <w:sz w:val="20"/>
          <w:szCs w:val="20"/>
        </w:rPr>
        <w:t>Vështirësitë gjatë mësimit në distancë në lëndën e TIK-ut në kohën e pandemisëCOVID-19</w:t>
      </w:r>
    </w:p>
    <w:p w:rsidR="003F519A" w:rsidRPr="003C1B17" w:rsidRDefault="00415C66" w:rsidP="003C1B17">
      <w:pPr>
        <w:pStyle w:val="Heading1"/>
        <w:jc w:val="center"/>
        <w:rPr>
          <w:rFonts w:ascii="Times New Roman" w:hAnsi="Times New Roman" w:cs="Times New Roman"/>
          <w:b/>
          <w:color w:val="000000" w:themeColor="text1"/>
          <w:sz w:val="20"/>
          <w:szCs w:val="20"/>
        </w:rPr>
      </w:pPr>
      <w:r w:rsidRPr="003C1B17">
        <w:rPr>
          <w:rFonts w:ascii="Times New Roman" w:hAnsi="Times New Roman" w:cs="Times New Roman"/>
          <w:b/>
          <w:color w:val="000000" w:themeColor="text1"/>
          <w:sz w:val="20"/>
          <w:szCs w:val="20"/>
        </w:rPr>
        <w:t>ABSTRAKTI</w:t>
      </w:r>
    </w:p>
    <w:p w:rsidR="00487C39" w:rsidRPr="00487C39" w:rsidRDefault="00487C39" w:rsidP="00785B26">
      <w:pPr>
        <w:spacing w:line="276" w:lineRule="auto"/>
        <w:jc w:val="both"/>
        <w:rPr>
          <w:b/>
          <w:color w:val="000000" w:themeColor="text1"/>
          <w:sz w:val="22"/>
          <w:szCs w:val="22"/>
        </w:rPr>
      </w:pPr>
    </w:p>
    <w:p w:rsidR="00D82BF1" w:rsidRPr="00D82BF1" w:rsidRDefault="00D82BF1" w:rsidP="00D82BF1">
      <w:pPr>
        <w:jc w:val="both"/>
        <w:rPr>
          <w:sz w:val="22"/>
          <w:szCs w:val="22"/>
        </w:rPr>
      </w:pPr>
      <w:r w:rsidRPr="00D82BF1">
        <w:rPr>
          <w:sz w:val="22"/>
          <w:szCs w:val="22"/>
        </w:rPr>
        <w:t>Me situatën e krijuar në Kosovë, mbyllja e institucioneve edukativo-arsimore, kishte zënë papërgatitur të gjitha shkollat duke përfshirë këtu mësimdhënësit dhe nxënësit. Procesi i zhvillimittë mësimit në distancë ishte bërë pjesë e shumë shteteve të ndryshme të botës, në të njëjtënmënyrë edhe shteti i Kosovës po niste përgatitjet që shkollat fillore dhe shkollat e mesme tëfillojnë mësimin në distancë, për shkak të izolimit të popullatës u konsiderua si alternativa më epërshtatshme dhe e vetme në këtë periudhë.</w:t>
      </w:r>
    </w:p>
    <w:p w:rsidR="00D82BF1" w:rsidRPr="00D82BF1" w:rsidRDefault="00D82BF1" w:rsidP="00D82BF1">
      <w:pPr>
        <w:jc w:val="both"/>
        <w:rPr>
          <w:sz w:val="22"/>
          <w:szCs w:val="22"/>
        </w:rPr>
      </w:pPr>
      <w:r w:rsidRPr="00D82BF1">
        <w:rPr>
          <w:sz w:val="22"/>
          <w:szCs w:val="22"/>
        </w:rPr>
        <w:t>Qëllimi i këtij studimi ishte që të hulumtoj vështirësitë e nxënësve, vështirësitë e mësimdhënësvetë ndërlidhura me rrethanat e shkaktuara për shkak të izolimit social dhe perspektivën emësimdhënësve të TIK-ut për mësimin në distancë.Hulumtimi është kryer në gjimnazin “Gjon Buzuku” në komunën e Prizrenit.</w:t>
      </w:r>
    </w:p>
    <w:p w:rsidR="00D82BF1" w:rsidRPr="00D82BF1" w:rsidRDefault="00D82BF1" w:rsidP="00D82BF1">
      <w:pPr>
        <w:jc w:val="both"/>
        <w:rPr>
          <w:sz w:val="22"/>
          <w:szCs w:val="22"/>
        </w:rPr>
      </w:pPr>
      <w:r w:rsidRPr="00D82BF1">
        <w:rPr>
          <w:sz w:val="22"/>
          <w:szCs w:val="22"/>
        </w:rPr>
        <w:t>Për realizimin e këtij hulumtimi, për mbledhjen e të dhënave është përdorur një intervistë gjysmëe strukturuara e realizuar me (n=2) mësimdhënës të TIK-ut, si dhe një pyetësor i cili ështërealizuar më nxënësit 339 të cilët kanë ndjekur mësimet në klasën e 10 gjatë kohës së pandemisëCOVID-19, në kuadër të 15 paraleleve në gjimnazin “Gjon Buzuku” .</w:t>
      </w:r>
    </w:p>
    <w:p w:rsidR="00D82BF1" w:rsidRPr="00D82BF1" w:rsidRDefault="00D82BF1" w:rsidP="00D82BF1">
      <w:pPr>
        <w:jc w:val="both"/>
        <w:rPr>
          <w:sz w:val="22"/>
          <w:szCs w:val="22"/>
        </w:rPr>
      </w:pPr>
      <w:r w:rsidRPr="00D82BF1">
        <w:rPr>
          <w:sz w:val="22"/>
          <w:szCs w:val="22"/>
        </w:rPr>
        <w:t>Në rezultatet e dalura nga ky hulumtim do të dallojmë vështirësitë në të cilat kanë pasurmësimdhënësit dhe nxënësit gjatë mbajtjes së mbajtjes së mësimit në distancë në lëndën e TIK-ut. Këto rezultate janë të rëndësishme sepse ndikojnë në përmirësimin e procesit të mbajtjes sëmësimit në distancë në mënyrë që nxënësit të arrijnë rezultate më të larta në mësim në lëndën eTIK-ut.</w:t>
      </w:r>
    </w:p>
    <w:p w:rsidR="00D82BF1" w:rsidRPr="00D82BF1" w:rsidRDefault="00D82BF1" w:rsidP="00D82BF1">
      <w:pPr>
        <w:rPr>
          <w:sz w:val="22"/>
          <w:szCs w:val="22"/>
        </w:rPr>
      </w:pPr>
    </w:p>
    <w:p w:rsidR="005C0A4A" w:rsidRDefault="00D82BF1" w:rsidP="00D82BF1">
      <w:pPr>
        <w:rPr>
          <w:sz w:val="22"/>
          <w:szCs w:val="22"/>
        </w:rPr>
      </w:pPr>
      <w:r w:rsidRPr="00D82BF1">
        <w:rPr>
          <w:b/>
          <w:bCs/>
          <w:sz w:val="22"/>
          <w:szCs w:val="22"/>
        </w:rPr>
        <w:t>Fjalët kyçe:</w:t>
      </w:r>
      <w:r w:rsidRPr="00D82BF1">
        <w:rPr>
          <w:sz w:val="22"/>
          <w:szCs w:val="22"/>
        </w:rPr>
        <w:t xml:space="preserve"> mësimi në distancë, pandemi, mësimdhënie, mësim nxënie, rezultatet.</w:t>
      </w: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Pr>
        <w:rPr>
          <w:sz w:val="22"/>
          <w:szCs w:val="22"/>
        </w:rPr>
      </w:pPr>
    </w:p>
    <w:p w:rsidR="00D82BF1" w:rsidRDefault="00D82BF1" w:rsidP="00D82BF1"/>
    <w:p w:rsidR="005C0A4A" w:rsidRDefault="005C0A4A" w:rsidP="00487C39"/>
    <w:p w:rsidR="005C0A4A" w:rsidRDefault="005C0A4A" w:rsidP="00487C39"/>
    <w:p w:rsidR="005C0A4A" w:rsidRDefault="005C0A4A" w:rsidP="00487C39"/>
    <w:p w:rsidR="00041D8D" w:rsidRDefault="00041D8D" w:rsidP="00487C39"/>
    <w:p w:rsidR="00041D8D" w:rsidRDefault="00041D8D" w:rsidP="00487C39"/>
    <w:p w:rsidR="00041D8D" w:rsidRDefault="00041D8D" w:rsidP="00487C39"/>
    <w:p w:rsidR="00041D8D" w:rsidRDefault="00041D8D" w:rsidP="00487C39"/>
    <w:p w:rsidR="00041D8D" w:rsidRDefault="00041D8D" w:rsidP="00487C39"/>
    <w:p w:rsidR="005C0A4A" w:rsidRDefault="005C0A4A" w:rsidP="00487C39"/>
    <w:p w:rsidR="00884549" w:rsidRDefault="00884549" w:rsidP="00487C39"/>
    <w:p w:rsidR="00884549" w:rsidRDefault="00884549" w:rsidP="00487C39"/>
    <w:p w:rsidR="005C0A4A" w:rsidRDefault="005C0A4A" w:rsidP="00487C39"/>
    <w:p w:rsidR="00884549" w:rsidRDefault="00884549" w:rsidP="005400E0">
      <w:pPr>
        <w:spacing w:line="360" w:lineRule="auto"/>
        <w:rPr>
          <w:bCs/>
          <w:iCs/>
          <w:sz w:val="20"/>
          <w:szCs w:val="20"/>
        </w:rPr>
      </w:pPr>
      <w:bookmarkStart w:id="0" w:name="_Hlk93761820"/>
    </w:p>
    <w:bookmarkEnd w:id="0"/>
    <w:p w:rsidR="00884549" w:rsidRDefault="00884549" w:rsidP="005400E0">
      <w:pPr>
        <w:spacing w:line="360" w:lineRule="auto"/>
        <w:rPr>
          <w:bCs/>
          <w:iCs/>
          <w:sz w:val="20"/>
          <w:szCs w:val="20"/>
        </w:rPr>
      </w:pPr>
    </w:p>
    <w:sectPr w:rsidR="00884549"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71" w:rsidRDefault="00C03C71">
      <w:r>
        <w:separator/>
      </w:r>
    </w:p>
  </w:endnote>
  <w:endnote w:type="continuationSeparator" w:id="1">
    <w:p w:rsidR="00C03C71" w:rsidRDefault="00C03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71" w:rsidRDefault="00C03C71">
      <w:r>
        <w:separator/>
      </w:r>
    </w:p>
  </w:footnote>
  <w:footnote w:type="continuationSeparator" w:id="1">
    <w:p w:rsidR="00C03C71" w:rsidRDefault="00C03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15C66"/>
    <w:rsid w:val="00010CBE"/>
    <w:rsid w:val="00014EDE"/>
    <w:rsid w:val="000238E8"/>
    <w:rsid w:val="00023E9E"/>
    <w:rsid w:val="00032582"/>
    <w:rsid w:val="000365A2"/>
    <w:rsid w:val="00041D8D"/>
    <w:rsid w:val="000445CA"/>
    <w:rsid w:val="00046CD2"/>
    <w:rsid w:val="000472EC"/>
    <w:rsid w:val="00056F57"/>
    <w:rsid w:val="00062752"/>
    <w:rsid w:val="00063259"/>
    <w:rsid w:val="00067F48"/>
    <w:rsid w:val="00072DA2"/>
    <w:rsid w:val="000736FC"/>
    <w:rsid w:val="00076005"/>
    <w:rsid w:val="0008349A"/>
    <w:rsid w:val="00093F8C"/>
    <w:rsid w:val="000A7488"/>
    <w:rsid w:val="000A7F19"/>
    <w:rsid w:val="000B664B"/>
    <w:rsid w:val="000C61D5"/>
    <w:rsid w:val="000D2DD6"/>
    <w:rsid w:val="000D570D"/>
    <w:rsid w:val="000D6250"/>
    <w:rsid w:val="00100212"/>
    <w:rsid w:val="00100FD6"/>
    <w:rsid w:val="001041F6"/>
    <w:rsid w:val="001214D4"/>
    <w:rsid w:val="00135BFD"/>
    <w:rsid w:val="00136C03"/>
    <w:rsid w:val="00143B71"/>
    <w:rsid w:val="00145EA0"/>
    <w:rsid w:val="001513F3"/>
    <w:rsid w:val="00153192"/>
    <w:rsid w:val="0015640E"/>
    <w:rsid w:val="001564E7"/>
    <w:rsid w:val="00167900"/>
    <w:rsid w:val="00171EE4"/>
    <w:rsid w:val="00172BD7"/>
    <w:rsid w:val="0017519D"/>
    <w:rsid w:val="001877FB"/>
    <w:rsid w:val="001B59D7"/>
    <w:rsid w:val="001B5DFC"/>
    <w:rsid w:val="001B6ED9"/>
    <w:rsid w:val="001E411D"/>
    <w:rsid w:val="001F3320"/>
    <w:rsid w:val="001F3384"/>
    <w:rsid w:val="00201222"/>
    <w:rsid w:val="0022466D"/>
    <w:rsid w:val="00224E73"/>
    <w:rsid w:val="002251A5"/>
    <w:rsid w:val="00237C83"/>
    <w:rsid w:val="002405B6"/>
    <w:rsid w:val="00242F4E"/>
    <w:rsid w:val="0025156E"/>
    <w:rsid w:val="002554CA"/>
    <w:rsid w:val="00256C3D"/>
    <w:rsid w:val="00257490"/>
    <w:rsid w:val="00264860"/>
    <w:rsid w:val="00271A46"/>
    <w:rsid w:val="00281B04"/>
    <w:rsid w:val="00287E65"/>
    <w:rsid w:val="00291C8E"/>
    <w:rsid w:val="002964A4"/>
    <w:rsid w:val="00297ED1"/>
    <w:rsid w:val="002A3B98"/>
    <w:rsid w:val="002C71B9"/>
    <w:rsid w:val="00307B7B"/>
    <w:rsid w:val="00313660"/>
    <w:rsid w:val="0031603C"/>
    <w:rsid w:val="003175C8"/>
    <w:rsid w:val="00321498"/>
    <w:rsid w:val="00322412"/>
    <w:rsid w:val="0033069A"/>
    <w:rsid w:val="00352D5A"/>
    <w:rsid w:val="00360F89"/>
    <w:rsid w:val="00370039"/>
    <w:rsid w:val="00370A2D"/>
    <w:rsid w:val="003879E6"/>
    <w:rsid w:val="003A01CC"/>
    <w:rsid w:val="003A0CDE"/>
    <w:rsid w:val="003B76E4"/>
    <w:rsid w:val="003C1A9D"/>
    <w:rsid w:val="003C1B17"/>
    <w:rsid w:val="003F519A"/>
    <w:rsid w:val="00400A62"/>
    <w:rsid w:val="00400CE9"/>
    <w:rsid w:val="00415C66"/>
    <w:rsid w:val="00421420"/>
    <w:rsid w:val="00422210"/>
    <w:rsid w:val="00423E0F"/>
    <w:rsid w:val="004240A3"/>
    <w:rsid w:val="00425972"/>
    <w:rsid w:val="00434B13"/>
    <w:rsid w:val="00434BF5"/>
    <w:rsid w:val="0044185A"/>
    <w:rsid w:val="0044460E"/>
    <w:rsid w:val="004446F7"/>
    <w:rsid w:val="004458FE"/>
    <w:rsid w:val="00445CDE"/>
    <w:rsid w:val="00452B21"/>
    <w:rsid w:val="00456A65"/>
    <w:rsid w:val="00457187"/>
    <w:rsid w:val="00465CB4"/>
    <w:rsid w:val="00487C39"/>
    <w:rsid w:val="00490AB2"/>
    <w:rsid w:val="00492310"/>
    <w:rsid w:val="004A1E32"/>
    <w:rsid w:val="004A7E97"/>
    <w:rsid w:val="004B2FF8"/>
    <w:rsid w:val="004B533E"/>
    <w:rsid w:val="004B5CAA"/>
    <w:rsid w:val="004B65AD"/>
    <w:rsid w:val="004D363F"/>
    <w:rsid w:val="005205E9"/>
    <w:rsid w:val="005255B8"/>
    <w:rsid w:val="005279E1"/>
    <w:rsid w:val="00527B7A"/>
    <w:rsid w:val="005321DF"/>
    <w:rsid w:val="00533DCD"/>
    <w:rsid w:val="005400E0"/>
    <w:rsid w:val="00541AA2"/>
    <w:rsid w:val="00550D70"/>
    <w:rsid w:val="00554D43"/>
    <w:rsid w:val="0056593E"/>
    <w:rsid w:val="00573C4E"/>
    <w:rsid w:val="005750AF"/>
    <w:rsid w:val="00587D46"/>
    <w:rsid w:val="005B4B24"/>
    <w:rsid w:val="005B7DBE"/>
    <w:rsid w:val="005C0A4A"/>
    <w:rsid w:val="005C3BF5"/>
    <w:rsid w:val="005C5103"/>
    <w:rsid w:val="005C618A"/>
    <w:rsid w:val="005E66CE"/>
    <w:rsid w:val="005F6457"/>
    <w:rsid w:val="005F738B"/>
    <w:rsid w:val="006051B1"/>
    <w:rsid w:val="00612629"/>
    <w:rsid w:val="00613626"/>
    <w:rsid w:val="0062213E"/>
    <w:rsid w:val="00622D58"/>
    <w:rsid w:val="006373D7"/>
    <w:rsid w:val="00637691"/>
    <w:rsid w:val="006400C8"/>
    <w:rsid w:val="006423C8"/>
    <w:rsid w:val="00644A6D"/>
    <w:rsid w:val="00647A6B"/>
    <w:rsid w:val="0066440B"/>
    <w:rsid w:val="006812CE"/>
    <w:rsid w:val="00692707"/>
    <w:rsid w:val="006B7443"/>
    <w:rsid w:val="006C5C3D"/>
    <w:rsid w:val="006C72B3"/>
    <w:rsid w:val="006D0001"/>
    <w:rsid w:val="006E6070"/>
    <w:rsid w:val="006E68BE"/>
    <w:rsid w:val="006F2FAA"/>
    <w:rsid w:val="006F57F8"/>
    <w:rsid w:val="00703F0F"/>
    <w:rsid w:val="007117DA"/>
    <w:rsid w:val="00714178"/>
    <w:rsid w:val="0071638A"/>
    <w:rsid w:val="0072107F"/>
    <w:rsid w:val="00723647"/>
    <w:rsid w:val="007430BD"/>
    <w:rsid w:val="007433BE"/>
    <w:rsid w:val="00744926"/>
    <w:rsid w:val="0075784A"/>
    <w:rsid w:val="00762CE2"/>
    <w:rsid w:val="00774167"/>
    <w:rsid w:val="00774B31"/>
    <w:rsid w:val="00777505"/>
    <w:rsid w:val="00785B26"/>
    <w:rsid w:val="007C1FB8"/>
    <w:rsid w:val="007D48D9"/>
    <w:rsid w:val="007D4943"/>
    <w:rsid w:val="007D4BF7"/>
    <w:rsid w:val="007F0E56"/>
    <w:rsid w:val="008073E9"/>
    <w:rsid w:val="00812E08"/>
    <w:rsid w:val="00821C4E"/>
    <w:rsid w:val="00841419"/>
    <w:rsid w:val="0084245F"/>
    <w:rsid w:val="0085289A"/>
    <w:rsid w:val="008611D1"/>
    <w:rsid w:val="0086713C"/>
    <w:rsid w:val="00870032"/>
    <w:rsid w:val="00870F62"/>
    <w:rsid w:val="00874519"/>
    <w:rsid w:val="0088247A"/>
    <w:rsid w:val="00884549"/>
    <w:rsid w:val="0089569B"/>
    <w:rsid w:val="008A1C27"/>
    <w:rsid w:val="008B5AA8"/>
    <w:rsid w:val="008C63A9"/>
    <w:rsid w:val="008D44FB"/>
    <w:rsid w:val="008E31D3"/>
    <w:rsid w:val="0090491D"/>
    <w:rsid w:val="009209A9"/>
    <w:rsid w:val="00921561"/>
    <w:rsid w:val="00945C9F"/>
    <w:rsid w:val="00946621"/>
    <w:rsid w:val="0095159E"/>
    <w:rsid w:val="009517A6"/>
    <w:rsid w:val="009554F1"/>
    <w:rsid w:val="00964EC8"/>
    <w:rsid w:val="00971C1B"/>
    <w:rsid w:val="00972CDE"/>
    <w:rsid w:val="00994374"/>
    <w:rsid w:val="0099667D"/>
    <w:rsid w:val="009A6318"/>
    <w:rsid w:val="009C08DD"/>
    <w:rsid w:val="009C64C6"/>
    <w:rsid w:val="009D3892"/>
    <w:rsid w:val="009D4983"/>
    <w:rsid w:val="009E10C9"/>
    <w:rsid w:val="009E59C5"/>
    <w:rsid w:val="00A02C4A"/>
    <w:rsid w:val="00A04ABA"/>
    <w:rsid w:val="00A07E2C"/>
    <w:rsid w:val="00A17AD0"/>
    <w:rsid w:val="00A24DEB"/>
    <w:rsid w:val="00A30F6C"/>
    <w:rsid w:val="00A3470C"/>
    <w:rsid w:val="00A41A11"/>
    <w:rsid w:val="00A52FD2"/>
    <w:rsid w:val="00A83955"/>
    <w:rsid w:val="00A92762"/>
    <w:rsid w:val="00A94950"/>
    <w:rsid w:val="00AA0E90"/>
    <w:rsid w:val="00AA1B48"/>
    <w:rsid w:val="00AA56DF"/>
    <w:rsid w:val="00AB0B3E"/>
    <w:rsid w:val="00AB473D"/>
    <w:rsid w:val="00AD3A8D"/>
    <w:rsid w:val="00AD3FC9"/>
    <w:rsid w:val="00AE5D5C"/>
    <w:rsid w:val="00AF572E"/>
    <w:rsid w:val="00B104F3"/>
    <w:rsid w:val="00B24623"/>
    <w:rsid w:val="00B27C61"/>
    <w:rsid w:val="00B3109F"/>
    <w:rsid w:val="00B36745"/>
    <w:rsid w:val="00B43AE3"/>
    <w:rsid w:val="00B464AB"/>
    <w:rsid w:val="00B52420"/>
    <w:rsid w:val="00B54A3C"/>
    <w:rsid w:val="00B56768"/>
    <w:rsid w:val="00B57AB8"/>
    <w:rsid w:val="00B60019"/>
    <w:rsid w:val="00B60258"/>
    <w:rsid w:val="00B606B7"/>
    <w:rsid w:val="00B66252"/>
    <w:rsid w:val="00B7023C"/>
    <w:rsid w:val="00B90FC7"/>
    <w:rsid w:val="00B92495"/>
    <w:rsid w:val="00B960BA"/>
    <w:rsid w:val="00B9651B"/>
    <w:rsid w:val="00BA2562"/>
    <w:rsid w:val="00BA50BF"/>
    <w:rsid w:val="00BB59EA"/>
    <w:rsid w:val="00BF6A0B"/>
    <w:rsid w:val="00C00E79"/>
    <w:rsid w:val="00C03C71"/>
    <w:rsid w:val="00C047D4"/>
    <w:rsid w:val="00C200FB"/>
    <w:rsid w:val="00C21629"/>
    <w:rsid w:val="00C30A90"/>
    <w:rsid w:val="00C42E04"/>
    <w:rsid w:val="00C43074"/>
    <w:rsid w:val="00C648FA"/>
    <w:rsid w:val="00C706E3"/>
    <w:rsid w:val="00C804D8"/>
    <w:rsid w:val="00CA7B4A"/>
    <w:rsid w:val="00CB2BF5"/>
    <w:rsid w:val="00CB62A9"/>
    <w:rsid w:val="00CD2D48"/>
    <w:rsid w:val="00CD7311"/>
    <w:rsid w:val="00CE0387"/>
    <w:rsid w:val="00CE7DA7"/>
    <w:rsid w:val="00D06297"/>
    <w:rsid w:val="00D112F0"/>
    <w:rsid w:val="00D179E2"/>
    <w:rsid w:val="00D2676B"/>
    <w:rsid w:val="00D35BF3"/>
    <w:rsid w:val="00D4457F"/>
    <w:rsid w:val="00D513DA"/>
    <w:rsid w:val="00D5207C"/>
    <w:rsid w:val="00D52659"/>
    <w:rsid w:val="00D533D5"/>
    <w:rsid w:val="00D55EB8"/>
    <w:rsid w:val="00D74E6C"/>
    <w:rsid w:val="00D77694"/>
    <w:rsid w:val="00D82BF0"/>
    <w:rsid w:val="00D82BF1"/>
    <w:rsid w:val="00D878A0"/>
    <w:rsid w:val="00D90E0F"/>
    <w:rsid w:val="00D93EE3"/>
    <w:rsid w:val="00DA44BA"/>
    <w:rsid w:val="00DB1B6C"/>
    <w:rsid w:val="00DC28F0"/>
    <w:rsid w:val="00DC31E0"/>
    <w:rsid w:val="00DD5454"/>
    <w:rsid w:val="00DF0E5D"/>
    <w:rsid w:val="00E03959"/>
    <w:rsid w:val="00E03C88"/>
    <w:rsid w:val="00E043A3"/>
    <w:rsid w:val="00E13FA5"/>
    <w:rsid w:val="00E204B9"/>
    <w:rsid w:val="00E27D29"/>
    <w:rsid w:val="00E40167"/>
    <w:rsid w:val="00E43B91"/>
    <w:rsid w:val="00E566E1"/>
    <w:rsid w:val="00E609CA"/>
    <w:rsid w:val="00E60E88"/>
    <w:rsid w:val="00E6679C"/>
    <w:rsid w:val="00E702A2"/>
    <w:rsid w:val="00E73206"/>
    <w:rsid w:val="00E946E4"/>
    <w:rsid w:val="00EA5DCD"/>
    <w:rsid w:val="00EA7062"/>
    <w:rsid w:val="00EB0330"/>
    <w:rsid w:val="00EB5E3D"/>
    <w:rsid w:val="00EC215E"/>
    <w:rsid w:val="00EE42AF"/>
    <w:rsid w:val="00EE51E7"/>
    <w:rsid w:val="00EE6697"/>
    <w:rsid w:val="00EE76A1"/>
    <w:rsid w:val="00EF2DDC"/>
    <w:rsid w:val="00EF3890"/>
    <w:rsid w:val="00F271D7"/>
    <w:rsid w:val="00F43368"/>
    <w:rsid w:val="00F51143"/>
    <w:rsid w:val="00F54B0A"/>
    <w:rsid w:val="00F67CBA"/>
    <w:rsid w:val="00F75E9B"/>
    <w:rsid w:val="00F8554E"/>
    <w:rsid w:val="00F91803"/>
    <w:rsid w:val="00F93D41"/>
    <w:rsid w:val="00FA2AB5"/>
    <w:rsid w:val="00FB1629"/>
    <w:rsid w:val="00FC32AA"/>
    <w:rsid w:val="00FD0596"/>
    <w:rsid w:val="00FD47C7"/>
    <w:rsid w:val="00FF3F28"/>
    <w:rsid w:val="00FF5FEB"/>
    <w:rsid w:val="00FF6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paragraph" w:styleId="BalloonText">
    <w:name w:val="Balloon Text"/>
    <w:basedOn w:val="Normal"/>
    <w:link w:val="BalloonTextChar"/>
    <w:uiPriority w:val="99"/>
    <w:semiHidden/>
    <w:unhideWhenUsed/>
    <w:rsid w:val="009A6318"/>
    <w:rPr>
      <w:rFonts w:ascii="Tahoma" w:hAnsi="Tahoma" w:cs="Tahoma"/>
      <w:sz w:val="16"/>
      <w:szCs w:val="16"/>
    </w:rPr>
  </w:style>
  <w:style w:type="character" w:customStyle="1" w:styleId="BalloonTextChar">
    <w:name w:val="Balloon Text Char"/>
    <w:basedOn w:val="DefaultParagraphFont"/>
    <w:link w:val="BalloonText"/>
    <w:uiPriority w:val="99"/>
    <w:semiHidden/>
    <w:rsid w:val="009A6318"/>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BlertaShehu</cp:lastModifiedBy>
  <cp:revision>8</cp:revision>
  <dcterms:created xsi:type="dcterms:W3CDTF">2023-03-05T21:03:00Z</dcterms:created>
  <dcterms:modified xsi:type="dcterms:W3CDTF">2023-03-06T13:10:00Z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