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31D8" w14:textId="77777777" w:rsidR="00F12BF5" w:rsidRDefault="00F12BF5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noProof/>
        </w:rPr>
        <w:drawing>
          <wp:inline distT="0" distB="0" distL="0" distR="0" wp14:anchorId="49B1CC33" wp14:editId="212207B7">
            <wp:extent cx="5943600" cy="90043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DF7EC" w14:textId="4BA93C3B" w:rsidR="00971C1D" w:rsidRPr="009D5584" w:rsidRDefault="009D5584" w:rsidP="009D5584">
      <w:pPr>
        <w:jc w:val="center"/>
        <w:rPr>
          <w:rFonts w:ascii="Trebuchet MS" w:eastAsia="Trebuchet MS" w:hAnsi="Trebuchet MS" w:cs="Trebuchet MS"/>
          <w:b/>
          <w:color w:val="820000"/>
          <w:sz w:val="24"/>
          <w:szCs w:val="20"/>
          <w:u w:val="single"/>
        </w:rPr>
      </w:pPr>
      <w:r w:rsidRPr="00E656AA">
        <w:rPr>
          <w:rFonts w:ascii="Trebuchet MS" w:eastAsia="Trebuchet MS" w:hAnsi="Trebuchet MS" w:cs="Trebuchet MS"/>
          <w:b/>
          <w:color w:val="820000"/>
          <w:sz w:val="24"/>
          <w:szCs w:val="20"/>
          <w:u w:val="single"/>
        </w:rPr>
        <w:t>PYETJET E SHPESHTA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1C1D" w14:paraId="7FC08767" w14:textId="77777777" w:rsidTr="009D5584">
        <w:trPr>
          <w:jc w:val="center"/>
        </w:trPr>
        <w:tc>
          <w:tcPr>
            <w:tcW w:w="4680" w:type="dxa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0C7F" w14:textId="77777777" w:rsidR="00971C1D" w:rsidRPr="009D5584" w:rsidRDefault="00A72DC3">
            <w:pPr>
              <w:widowControl w:val="0"/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 xml:space="preserve">Pyetja </w:t>
            </w:r>
          </w:p>
        </w:tc>
        <w:tc>
          <w:tcPr>
            <w:tcW w:w="4680" w:type="dxa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5668" w14:textId="77777777" w:rsidR="00971C1D" w:rsidRPr="009D5584" w:rsidRDefault="00A72DC3">
            <w:pPr>
              <w:widowControl w:val="0"/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Përgjigja/et</w:t>
            </w:r>
          </w:p>
        </w:tc>
      </w:tr>
      <w:tr w:rsidR="000A3CDA" w14:paraId="1EDB13AC" w14:textId="77777777" w:rsidTr="009D5584">
        <w:trPr>
          <w:trHeight w:val="480"/>
          <w:jc w:val="center"/>
        </w:trPr>
        <w:tc>
          <w:tcPr>
            <w:tcW w:w="9360" w:type="dxa"/>
            <w:gridSpan w:val="2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D6A0" w14:textId="77777777" w:rsidR="00D12369" w:rsidRPr="00D12369" w:rsidRDefault="00D12369" w:rsidP="00D12369">
            <w:pPr>
              <w:widowControl w:val="0"/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Informata rreth çështjeve administrative dhe financiare </w:t>
            </w:r>
          </w:p>
          <w:p w14:paraId="6AFA494E" w14:textId="586BAE48" w:rsidR="000A3CDA" w:rsidRPr="009D5584" w:rsidRDefault="000A3CDA" w:rsidP="000A3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0A3CDA" w14:paraId="668FE589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7B55" w14:textId="77777777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>Si ta marr vërtetimin që jam student i Fakultetit te Edukimit?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6184" w14:textId="77777777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</w:rPr>
            </w:pPr>
            <w:r w:rsidRPr="00D12369">
              <w:rPr>
                <w:rFonts w:ascii="Trebuchet MS" w:eastAsia="Trebuchet MS" w:hAnsi="Trebuchet MS" w:cs="Trebuchet MS"/>
                <w:b/>
              </w:rPr>
              <w:t>Për ta marrë vërtetimin e statusit të studentit duhet të dorëzohet në zyrën e shërbimit t</w:t>
            </w:r>
            <w:r w:rsidR="009F4C43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</w:rPr>
              <w:t xml:space="preserve"> student</w:t>
            </w:r>
            <w:r w:rsidR="009F4C43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</w:rPr>
              <w:t>ve, dhe ju do të njoftoheni për terminin e tërheqjes së dokumentit.</w:t>
            </w:r>
            <w:r w:rsidR="00C82CE3" w:rsidRPr="00D12369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D12369">
              <w:rPr>
                <w:rFonts w:ascii="Trebuchet MS" w:eastAsia="Trebuchet MS" w:hAnsi="Trebuchet MS" w:cs="Trebuchet MS"/>
                <w:b/>
              </w:rPr>
              <w:t>Vërtetimi i statusit të studentit mund të merret në gjuhën shqipe dhe atë angleze.</w:t>
            </w:r>
          </w:p>
        </w:tc>
      </w:tr>
      <w:tr w:rsidR="000A3CDA" w14:paraId="5DA747F8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97C8" w14:textId="77777777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>Si mund ta marr transkriptën zyrtare të notave?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936D" w14:textId="77777777" w:rsidR="000A3CDA" w:rsidRPr="00D12369" w:rsidRDefault="00B63962" w:rsidP="000A3CDA">
            <w:pPr>
              <w:rPr>
                <w:rFonts w:ascii="Trebuchet MS" w:eastAsia="Trebuchet MS" w:hAnsi="Trebuchet MS" w:cs="Trebuchet MS"/>
                <w:b/>
              </w:rPr>
            </w:pPr>
            <w:r w:rsidRPr="00D12369">
              <w:rPr>
                <w:rFonts w:ascii="Trebuchet MS" w:eastAsia="Trebuchet MS" w:hAnsi="Trebuchet MS" w:cs="Trebuchet MS"/>
                <w:b/>
              </w:rPr>
              <w:t>P</w:t>
            </w:r>
            <w:r w:rsidR="009F4C43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</w:rPr>
              <w:t>r student</w:t>
            </w:r>
            <w:r w:rsidR="009F4C43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</w:rPr>
              <w:t>t aktiv, n</w:t>
            </w:r>
            <w:r w:rsidR="000A3CDA" w:rsidRPr="00D12369">
              <w:rPr>
                <w:rFonts w:ascii="Trebuchet MS" w:eastAsia="Trebuchet MS" w:hAnsi="Trebuchet MS" w:cs="Trebuchet MS"/>
                <w:b/>
              </w:rPr>
              <w:t xml:space="preserve">ë SEMS nxirret fletëpagesa prej 2.50 € e cila paguhet në institucione e licencuara për pagesa. Fletëpagesa bashkë me ID kartelën dorëzohen në zyrën e shërbimit </w:t>
            </w:r>
            <w:r w:rsidRPr="00D12369">
              <w:rPr>
                <w:rFonts w:ascii="Trebuchet MS" w:eastAsia="Trebuchet MS" w:hAnsi="Trebuchet MS" w:cs="Trebuchet MS"/>
                <w:b/>
              </w:rPr>
              <w:t>studentor</w:t>
            </w:r>
            <w:r w:rsidR="000A3CDA" w:rsidRPr="00D12369">
              <w:rPr>
                <w:rFonts w:ascii="Trebuchet MS" w:eastAsia="Trebuchet MS" w:hAnsi="Trebuchet MS" w:cs="Trebuchet MS"/>
                <w:b/>
              </w:rPr>
              <w:t>, dhe njoftoheni për terminin e tërheqjes së dokumentit.</w:t>
            </w:r>
          </w:p>
          <w:p w14:paraId="0B305FD1" w14:textId="77777777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</w:rPr>
            </w:pPr>
            <w:r w:rsidRPr="00D12369">
              <w:rPr>
                <w:rFonts w:ascii="Trebuchet MS" w:eastAsia="Trebuchet MS" w:hAnsi="Trebuchet MS" w:cs="Trebuchet MS"/>
                <w:b/>
              </w:rPr>
              <w:t xml:space="preserve">Transkripta lëshohet vetëm në gjuhën shqipe. Për përkthim në gjuhë tjera, studenti duhet të drejtohet tek përkthyesit e licencuar. </w:t>
            </w:r>
          </w:p>
          <w:p w14:paraId="59D896A3" w14:textId="164DD15D" w:rsidR="00B63962" w:rsidRPr="00D12369" w:rsidRDefault="00B63962" w:rsidP="000A3CDA">
            <w:pPr>
              <w:rPr>
                <w:rFonts w:ascii="Trebuchet MS" w:eastAsia="Trebuchet MS" w:hAnsi="Trebuchet MS" w:cs="Trebuchet MS"/>
                <w:b/>
              </w:rPr>
            </w:pPr>
            <w:r w:rsidRPr="00D12369">
              <w:rPr>
                <w:rFonts w:ascii="Trebuchet MS" w:eastAsia="Trebuchet MS" w:hAnsi="Trebuchet MS" w:cs="Trebuchet MS"/>
                <w:b/>
              </w:rPr>
              <w:t>Student</w:t>
            </w:r>
            <w:r w:rsidR="009F4C43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</w:rPr>
              <w:t>t e diplomuar duhet t</w:t>
            </w:r>
            <w:r w:rsidR="009F4C43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</w:rPr>
              <w:t xml:space="preserve"> nxjerrin flet</w:t>
            </w:r>
            <w:r w:rsidR="009F4C43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</w:rPr>
              <w:t>pages</w:t>
            </w:r>
            <w:r w:rsidR="009F4C43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</w:rPr>
              <w:t xml:space="preserve">n nga </w:t>
            </w:r>
            <w:r w:rsidR="0001636F" w:rsidRPr="00D12369">
              <w:rPr>
                <w:rFonts w:ascii="Trebuchet MS" w:eastAsia="Trebuchet MS" w:hAnsi="Trebuchet MS" w:cs="Trebuchet MS"/>
                <w:b/>
              </w:rPr>
              <w:t>web</w:t>
            </w:r>
            <w:r w:rsidRPr="00D12369">
              <w:rPr>
                <w:rFonts w:ascii="Trebuchet MS" w:eastAsia="Trebuchet MS" w:hAnsi="Trebuchet MS" w:cs="Trebuchet MS"/>
                <w:b/>
              </w:rPr>
              <w:t>faqja e Universitetit t</w:t>
            </w:r>
            <w:r w:rsidR="009F4C43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</w:rPr>
              <w:t xml:space="preserve"> Prishtin</w:t>
            </w:r>
            <w:r w:rsidR="009F4C43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</w:rPr>
              <w:t xml:space="preserve">s. </w:t>
            </w:r>
          </w:p>
          <w:p w14:paraId="6517D084" w14:textId="77777777" w:rsidR="00B63962" w:rsidRPr="00D12369" w:rsidRDefault="00B63962" w:rsidP="000A3CDA">
            <w:pPr>
              <w:rPr>
                <w:rFonts w:ascii="Trebuchet MS" w:eastAsia="Trebuchet MS" w:hAnsi="Trebuchet MS" w:cs="Trebuchet MS"/>
                <w:b/>
              </w:rPr>
            </w:pPr>
            <w:r w:rsidRPr="00D12369">
              <w:rPr>
                <w:rFonts w:ascii="Trebuchet MS" w:eastAsia="Trebuchet MS" w:hAnsi="Trebuchet MS" w:cs="Trebuchet MS"/>
                <w:b/>
              </w:rPr>
              <w:t>Certifikata mund t</w:t>
            </w:r>
            <w:r w:rsidR="009F4C43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</w:rPr>
              <w:t xml:space="preserve"> mirret brenda 24 or</w:t>
            </w:r>
            <w:r w:rsidR="009F4C43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</w:rPr>
              <w:t>ve.</w:t>
            </w:r>
          </w:p>
        </w:tc>
      </w:tr>
      <w:tr w:rsidR="000A3CDA" w14:paraId="27E588A9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E422" w14:textId="77777777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 xml:space="preserve">A kam të drejtë </w:t>
            </w:r>
            <w:proofErr w:type="gramStart"/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>t‘</w:t>
            </w:r>
            <w:proofErr w:type="gramEnd"/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>i regjistroj studimet në dy fakultete?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F3E5" w14:textId="49BDEC03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</w:rPr>
            </w:pPr>
            <w:r w:rsidRPr="00D12369">
              <w:rPr>
                <w:rFonts w:ascii="Trebuchet MS" w:eastAsia="Trebuchet MS" w:hAnsi="Trebuchet MS" w:cs="Trebuchet MS"/>
                <w:b/>
              </w:rPr>
              <w:t>Studentët të cilat kanë të regjistruar një program studimi në cilindo nivel të studimit në kuadër të Universitetit të Prishtinës nuk kanë të drejtë konkurrimi në program tjetër studimi ne</w:t>
            </w:r>
            <w:r w:rsidR="00DF65DC" w:rsidRPr="00D12369">
              <w:rPr>
                <w:rFonts w:ascii="Trebuchet MS" w:eastAsia="Trebuchet MS" w:hAnsi="Trebuchet MS" w:cs="Trebuchet MS"/>
                <w:b/>
              </w:rPr>
              <w:t>s</w:t>
            </w:r>
            <w:r w:rsidRPr="00D12369">
              <w:rPr>
                <w:rFonts w:ascii="Trebuchet MS" w:eastAsia="Trebuchet MS" w:hAnsi="Trebuchet MS" w:cs="Trebuchet MS"/>
                <w:b/>
              </w:rPr>
              <w:t xml:space="preserve">ë UP pa përfunduar studimet në programin ku janë </w:t>
            </w:r>
            <w:r w:rsidRPr="00D12369">
              <w:rPr>
                <w:rFonts w:ascii="Trebuchet MS" w:eastAsia="Trebuchet MS" w:hAnsi="Trebuchet MS" w:cs="Trebuchet MS"/>
                <w:b/>
              </w:rPr>
              <w:lastRenderedPageBreak/>
              <w:t>duke vijuar studimet ose pa u çregjistruar nga programi aktual i studimeve.</w:t>
            </w:r>
          </w:p>
        </w:tc>
      </w:tr>
      <w:tr w:rsidR="000A3CDA" w14:paraId="5D9200DE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8799" w14:textId="77777777" w:rsidR="000A3CDA" w:rsidRPr="00D12369" w:rsidRDefault="000A3CDA" w:rsidP="000A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lastRenderedPageBreak/>
              <w:t>Cilat janë procedurat e regjistrimit të semestrit? Cilat jane obligimet e mia per regjistrimin e semestrit?</w:t>
            </w:r>
          </w:p>
          <w:p w14:paraId="6136C801" w14:textId="77777777" w:rsidR="000A3CDA" w:rsidRPr="00D12369" w:rsidRDefault="000A3CDA" w:rsidP="000A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82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BCE3" w14:textId="247F1D03" w:rsidR="000A3CDA" w:rsidRPr="00D12369" w:rsidRDefault="00B63962" w:rsidP="000A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</w:rPr>
            </w:pPr>
            <w:r w:rsidRPr="00D12369">
              <w:rPr>
                <w:rFonts w:ascii="Trebuchet MS" w:eastAsia="Trebuchet MS" w:hAnsi="Trebuchet MS" w:cs="Trebuchet MS"/>
                <w:b/>
              </w:rPr>
              <w:t>Semestri regjistrohet n</w:t>
            </w:r>
            <w:r w:rsidR="009F4C43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</w:rPr>
              <w:t xml:space="preserve"> SEMS. </w:t>
            </w:r>
            <w:r w:rsidR="00551573" w:rsidRPr="00D12369">
              <w:rPr>
                <w:rFonts w:ascii="Trebuchet MS" w:eastAsia="Trebuchet MS" w:hAnsi="Trebuchet MS" w:cs="Trebuchet MS"/>
                <w:b/>
              </w:rPr>
              <w:t xml:space="preserve">Sipas </w:t>
            </w:r>
            <w:r w:rsidR="001C1361" w:rsidRPr="00D12369">
              <w:rPr>
                <w:rFonts w:ascii="Trebuchet MS" w:eastAsia="Trebuchet MS" w:hAnsi="Trebuchet MS" w:cs="Trebuchet MS"/>
                <w:b/>
              </w:rPr>
              <w:t>vendimit actual të Këshillit Drejtues të Universitetit të Prishtinës (nr. 4/74 të datës 10/12/2021), vendim ky që është marrë me qëllim të zbatimit të Udhëzimit Administrativ 09/2021 për aplikimin e pagesave të studentëve në Institucionet Publike të Arsimit të Lartë, të g</w:t>
            </w:r>
            <w:r w:rsidR="000A3CDA" w:rsidRPr="00D12369">
              <w:rPr>
                <w:rFonts w:ascii="Trebuchet MS" w:eastAsia="Trebuchet MS" w:hAnsi="Trebuchet MS" w:cs="Trebuchet MS"/>
                <w:b/>
              </w:rPr>
              <w:t>jithë studentë</w:t>
            </w:r>
            <w:r w:rsidR="00DF65DC" w:rsidRPr="00D12369">
              <w:rPr>
                <w:rFonts w:ascii="Trebuchet MS" w:eastAsia="Trebuchet MS" w:hAnsi="Trebuchet MS" w:cs="Trebuchet MS"/>
                <w:b/>
              </w:rPr>
              <w:t>t</w:t>
            </w:r>
            <w:r w:rsidRPr="00D12369">
              <w:rPr>
                <w:rFonts w:ascii="Trebuchet MS" w:eastAsia="Trebuchet MS" w:hAnsi="Trebuchet MS" w:cs="Trebuchet MS"/>
                <w:b/>
              </w:rPr>
              <w:t>,</w:t>
            </w:r>
            <w:r w:rsidR="000A3CDA" w:rsidRPr="00D12369">
              <w:rPr>
                <w:rFonts w:ascii="Trebuchet MS" w:eastAsia="Trebuchet MS" w:hAnsi="Trebuchet MS" w:cs="Trebuchet MS"/>
                <w:b/>
              </w:rPr>
              <w:t xml:space="preserve"> të cilët e përsërisin për herë të dytë semestrin e njëjtë nuk lirohen nga pagesa, ndërsa lirohen nga pagesa studentët e nivelit baçelor dhe master (JO edhe studentët e nivelit të doktoratës) të cilët semestrin e regjistrojnë për herën e parë. Të gjithë studentët duhet t’i përmbahen rregullave të përcaktuara në UA 09/2021 dhe vendimin e Këshillit Drejtues të UP-së.</w:t>
            </w:r>
          </w:p>
        </w:tc>
      </w:tr>
      <w:tr w:rsidR="000A3CDA" w14:paraId="542B7472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DBE4" w14:textId="1CFD87E4" w:rsidR="00D12369" w:rsidRPr="00D12369" w:rsidRDefault="00D12369" w:rsidP="00D12369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>Sa është pagesa për semestër të programit?</w:t>
            </w:r>
          </w:p>
          <w:p w14:paraId="4185BEFE" w14:textId="1BC9D01C" w:rsidR="000A3CDA" w:rsidRPr="00D12369" w:rsidRDefault="00D12369" w:rsidP="00D12369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 xml:space="preserve">Si është procedura për </w:t>
            </w: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>pagesë</w:t>
            </w: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 xml:space="preserve"> të semestrit?</w:t>
            </w: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FF53" w14:textId="092B182A" w:rsidR="000A3CDA" w:rsidRPr="00D12369" w:rsidRDefault="00B63962" w:rsidP="000A3CDA">
            <w:pPr>
              <w:rPr>
                <w:rFonts w:ascii="Trebuchet MS" w:eastAsia="Trebuchet MS" w:hAnsi="Trebuchet MS" w:cs="Trebuchet MS"/>
                <w:b/>
                <w:color w:val="000000" w:themeColor="text1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 xml:space="preserve">Pagesa </w:t>
            </w:r>
            <w:r w:rsidR="009F4C43"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>sht</w:t>
            </w:r>
            <w:r w:rsidR="009F4C43"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 xml:space="preserve"> </w:t>
            </w:r>
            <w:r w:rsidR="001C1361"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>25-euro</w:t>
            </w:r>
            <w:r w:rsidR="001E2C3F"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 xml:space="preserve"> </w:t>
            </w:r>
            <w:r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>p</w:t>
            </w:r>
            <w:r w:rsidR="009F4C43"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>r semest</w:t>
            </w:r>
            <w:r w:rsidR="009F4C43"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>r p</w:t>
            </w:r>
            <w:r w:rsidR="009F4C43"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>r studimet bachelor, nd</w:t>
            </w:r>
            <w:r w:rsidR="009F4C43"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>ë</w:t>
            </w:r>
            <w:r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>rsa p</w:t>
            </w:r>
            <w:r w:rsidR="000A3CDA"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>agesa për semestër në nivelin master për 150 €.</w:t>
            </w:r>
          </w:p>
          <w:p w14:paraId="7EDBDFF3" w14:textId="30D7DEDF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  <w:color w:val="000000" w:themeColor="text1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 xml:space="preserve">Për ta paguar semestrin në fakultet, duhet të nxirret fletëpagesa nga SEMS-i (4 kopje), të kryhet pagesa, të plotësohet fletëregjistrimi (i cili merret ne zyrën e shërbimit </w:t>
            </w:r>
            <w:r w:rsidR="001C1361"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>master)</w:t>
            </w:r>
            <w:r w:rsidRPr="00D12369">
              <w:rPr>
                <w:rFonts w:ascii="Trebuchet MS" w:eastAsia="Trebuchet MS" w:hAnsi="Trebuchet MS" w:cs="Trebuchet MS"/>
                <w:b/>
                <w:color w:val="000000" w:themeColor="text1"/>
              </w:rPr>
              <w:t>. Të gjitha dokumentet e plotësuara dorëzohen në zyrën e shërbimit master.</w:t>
            </w:r>
          </w:p>
        </w:tc>
      </w:tr>
      <w:tr w:rsidR="000A3CDA" w14:paraId="2E236A6F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2D55" w14:textId="77777777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>A mund të paguaj semestrin online (debit/kredit kartelë)?</w:t>
            </w:r>
          </w:p>
          <w:p w14:paraId="211AC948" w14:textId="77777777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99DD" w14:textId="77777777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</w:rPr>
            </w:pPr>
            <w:r w:rsidRPr="00D12369">
              <w:rPr>
                <w:rFonts w:ascii="Trebuchet MS" w:eastAsia="Trebuchet MS" w:hAnsi="Trebuchet MS" w:cs="Trebuchet MS"/>
                <w:b/>
              </w:rPr>
              <w:t>Mund të paguhet përmes e-banking, mirëpo është obligative që studenti të ketë vërtetim të pagesës dhe ta dorëzoj tek zyra e sherbimit master.</w:t>
            </w:r>
          </w:p>
        </w:tc>
      </w:tr>
      <w:tr w:rsidR="000A3CDA" w14:paraId="470E48DB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F22D" w14:textId="77777777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>Cilat janë kushtet/kriteret për lirim nga pagesa e semestrit?</w:t>
            </w:r>
          </w:p>
          <w:p w14:paraId="4875779F" w14:textId="77777777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>Si të aplikoj për lirim nga pagesa e semestrit?</w:t>
            </w:r>
          </w:p>
          <w:p w14:paraId="5D7AEF58" w14:textId="77777777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E1FA" w14:textId="77777777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</w:rPr>
            </w:pPr>
            <w:r w:rsidRPr="00D12369">
              <w:rPr>
                <w:rFonts w:ascii="Trebuchet MS" w:eastAsia="Trebuchet MS" w:hAnsi="Trebuchet MS" w:cs="Trebuchet MS"/>
                <w:b/>
              </w:rPr>
              <w:lastRenderedPageBreak/>
              <w:t>Për kushtet apo kriteret për lirim nga pagesa e semestrit studentët njoftohen me kohë nëpërmjet lajmërimeve në faqen zyrtare të Universitetit/Fakultetit pasi të hapet konkursi.</w:t>
            </w:r>
          </w:p>
          <w:p w14:paraId="4AB619F2" w14:textId="77777777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</w:rPr>
            </w:pPr>
            <w:r w:rsidRPr="00D12369">
              <w:rPr>
                <w:rFonts w:ascii="Trebuchet MS" w:eastAsia="Trebuchet MS" w:hAnsi="Trebuchet MS" w:cs="Trebuchet MS"/>
                <w:b/>
              </w:rPr>
              <w:lastRenderedPageBreak/>
              <w:t>Për lirim nga semestri kërkohen dokumentet që vërtetojnë statusin e studentit dhe dokumentet e tjera percjellëse që vërtetojnë kategorinë nëpërmjet së cilës studenti ka aplikuar për lirim nga semestri, dokumentet duhet te sjellen origjinale ose te noterizuara.</w:t>
            </w:r>
          </w:p>
        </w:tc>
      </w:tr>
      <w:tr w:rsidR="000A3CDA" w14:paraId="7F1E6D2F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E1A3" w14:textId="0556CBB8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lastRenderedPageBreak/>
              <w:t xml:space="preserve">Sa vite kam të drejtë mbajtjen e statusit </w:t>
            </w:r>
            <w:r w:rsidR="00435140" w:rsidRPr="00D12369">
              <w:rPr>
                <w:rFonts w:ascii="Trebuchet MS" w:eastAsia="Trebuchet MS" w:hAnsi="Trebuchet MS" w:cs="Trebuchet MS"/>
                <w:b/>
                <w:color w:val="820000"/>
              </w:rPr>
              <w:t>s</w:t>
            </w: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>tudent?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3ADD" w14:textId="4D6FF382" w:rsidR="00435140" w:rsidRPr="00D12369" w:rsidRDefault="000A3CDA" w:rsidP="00435140">
            <w:pPr>
              <w:pStyle w:val="CommentText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Statusi student vlen sa dyfishi i viteve te atij </w:t>
            </w:r>
            <w:r w:rsidR="00B63962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programi. Psh</w:t>
            </w:r>
            <w:r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: Në qoftë së programi përkatës ka dy vite, atëherë studenti e ruan statusin e tij për 4 vite.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ër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cdo p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ë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rjashtim ose ndryshim nga ky rregull q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ë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mund t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ë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b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ë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het n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ë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nivel t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ë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Senatit t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ë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Universitetit student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ë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 lajm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ë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rohen me email nga Dekanati dhe njoftimet postohen n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ë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webfaqe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.</w:t>
            </w:r>
            <w:r w:rsidR="00435140" w:rsidRPr="00D12369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</w:t>
            </w:r>
          </w:p>
          <w:p w14:paraId="5195E927" w14:textId="77777777" w:rsidR="000A3CDA" w:rsidRPr="00D12369" w:rsidRDefault="000A3CDA" w:rsidP="000A3CDA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DB6ADC" w14:paraId="716BE3DF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0212" w14:textId="77777777" w:rsidR="00DB6ADC" w:rsidRPr="00D12369" w:rsidRDefault="00DB6ADC" w:rsidP="00C8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>Kur dhe si duhet të paraqiten provimet në afatin e provimeve?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400B" w14:textId="77777777" w:rsidR="00DB6ADC" w:rsidRPr="00D12369" w:rsidRDefault="00DB6ADC" w:rsidP="00C8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</w:rPr>
            </w:pPr>
            <w:r w:rsidRPr="00D12369">
              <w:rPr>
                <w:rFonts w:ascii="Trebuchet MS" w:eastAsia="Trebuchet MS" w:hAnsi="Trebuchet MS" w:cs="Trebuchet MS"/>
                <w:b/>
              </w:rPr>
              <w:t>Fakulteti në faqen zyrtare publikon njoftimin per hapjen e periudhës për paraqitejen e provimeve per secilin afat të provimeve në Sistemin Elektronik për Menaxhimin e Studentëve (SEMS). Paraqitja e provimeve mund të realizohet nga kudo dhe kurdo vetëm me qasje interneti.</w:t>
            </w:r>
          </w:p>
        </w:tc>
      </w:tr>
      <w:tr w:rsidR="00DB6ADC" w14:paraId="12EEBC2F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E835" w14:textId="77777777" w:rsidR="00DB6ADC" w:rsidRPr="00D12369" w:rsidRDefault="00DB6ADC" w:rsidP="00DB6ADC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>Nëse ka kaluar afati i paraqitjes së provimeve por nuk i kam paraqitur ato, ku duhet të drejtohem?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1F61" w14:textId="77777777" w:rsidR="00DB6ADC" w:rsidRPr="00D12369" w:rsidRDefault="00DB6ADC" w:rsidP="00DB6ADC">
            <w:pPr>
              <w:rPr>
                <w:rFonts w:ascii="Trebuchet MS" w:eastAsia="Trebuchet MS" w:hAnsi="Trebuchet MS" w:cs="Trebuchet MS"/>
                <w:b/>
              </w:rPr>
            </w:pPr>
            <w:r w:rsidRPr="00D12369">
              <w:rPr>
                <w:rFonts w:ascii="Trebuchet MS" w:eastAsia="Trebuchet MS" w:hAnsi="Trebuchet MS" w:cs="Trebuchet MS"/>
                <w:b/>
              </w:rPr>
              <w:t>SEMS-i ka sistem strikt për paraqitje të provimeve, vëmendja mbi njoftimet dhe lajmërimet mbi paraqitjen e provimeve duhet të jenë maksimale. Nëse provimet nuk janë paraqitur brenda afatit të shpallur, nuk mund të paraqiten deri në afatin e ardhshëm.</w:t>
            </w:r>
          </w:p>
        </w:tc>
      </w:tr>
      <w:tr w:rsidR="00DB6ADC" w14:paraId="228F59BD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18EF" w14:textId="77777777" w:rsidR="00DB6ADC" w:rsidRPr="00D12369" w:rsidRDefault="00DB6ADC" w:rsidP="00C8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820000"/>
              </w:rPr>
              <w:t>A kam nevojë me i pas fletëparaqitjet e secilës lëndë/kurs në dosje para diplomimit? Dhe si duhet të sigurohen ato?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7C10" w14:textId="77777777" w:rsidR="00DB6ADC" w:rsidRPr="00D12369" w:rsidRDefault="00DB6ADC" w:rsidP="00C8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</w:rPr>
            </w:pPr>
            <w:r w:rsidRPr="00D12369">
              <w:rPr>
                <w:rFonts w:ascii="Trebuchet MS" w:eastAsia="Trebuchet MS" w:hAnsi="Trebuchet MS" w:cs="Trebuchet MS"/>
                <w:b/>
              </w:rPr>
              <w:t>Dosja juaj duhet te kompletohet me të gjitha fletëparaqitjet e provimeve të kryera deri në dhjetor 2020 dhe nga afati i janarit 2021 me procesverbalet e lëndëve të kryera. Fletëparaqitjet që mungojnë deri në dhjetor 2020 ju duhet t’i siguroni vet</w:t>
            </w:r>
          </w:p>
        </w:tc>
      </w:tr>
      <w:tr w:rsidR="00DB6ADC" w14:paraId="10C4140F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7F06" w14:textId="1BE1D3B6" w:rsidR="00DB6ADC" w:rsidRPr="00D12369" w:rsidRDefault="00DB6ADC" w:rsidP="00DB6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b/>
                <w:color w:val="820000"/>
                <w:highlight w:val="white"/>
              </w:rPr>
            </w:pPr>
            <w:bookmarkStart w:id="0" w:name="_GoBack"/>
            <w:bookmarkEnd w:id="0"/>
            <w:r w:rsidRPr="00D12369">
              <w:rPr>
                <w:rFonts w:ascii="Trebuchet MS" w:eastAsia="Times New Roman" w:hAnsi="Trebuchet MS" w:cs="Times New Roman"/>
                <w:b/>
                <w:color w:val="820000"/>
                <w:highlight w:val="white"/>
              </w:rPr>
              <w:lastRenderedPageBreak/>
              <w:t>Cila është procedura e marrjes së diplomës?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0170" w14:textId="07F05C2D" w:rsidR="00DB6ADC" w:rsidRPr="00D12369" w:rsidRDefault="00435140" w:rsidP="001C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b/>
                <w:color w:val="FF0000"/>
                <w:highlight w:val="white"/>
              </w:rPr>
            </w:pPr>
            <w:r w:rsidRPr="00D12369">
              <w:rPr>
                <w:rFonts w:ascii="Trebuchet MS" w:eastAsia="Trebuchet MS" w:hAnsi="Trebuchet MS" w:cs="Trebuchet MS"/>
                <w:b/>
              </w:rPr>
              <w:t xml:space="preserve">Pas mbrojtjes së temës së diplomës, dhe dorëzimit të raportit nga komisioni, </w:t>
            </w:r>
            <w:r w:rsidR="00DB6ADC" w:rsidRPr="00D12369">
              <w:rPr>
                <w:rFonts w:ascii="Trebuchet MS" w:eastAsia="Trebuchet MS" w:hAnsi="Trebuchet MS" w:cs="Trebuchet MS"/>
                <w:b/>
              </w:rPr>
              <w:t xml:space="preserve">studenti </w:t>
            </w:r>
            <w:r w:rsidRPr="00D12369">
              <w:rPr>
                <w:rFonts w:ascii="Trebuchet MS" w:eastAsia="Trebuchet MS" w:hAnsi="Trebuchet MS" w:cs="Trebuchet MS"/>
                <w:b/>
              </w:rPr>
              <w:t>lajmërohet</w:t>
            </w:r>
            <w:r w:rsidR="00DB6ADC" w:rsidRPr="00D12369">
              <w:rPr>
                <w:rFonts w:ascii="Trebuchet MS" w:eastAsia="Trebuchet MS" w:hAnsi="Trebuchet MS" w:cs="Trebuchet MS"/>
                <w:b/>
              </w:rPr>
              <w:t xml:space="preserve"> n</w:t>
            </w:r>
            <w:r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="00DB6ADC" w:rsidRPr="00D12369">
              <w:rPr>
                <w:rFonts w:ascii="Trebuchet MS" w:eastAsia="Trebuchet MS" w:hAnsi="Trebuchet MS" w:cs="Trebuchet MS"/>
                <w:b/>
              </w:rPr>
              <w:t xml:space="preserve"> sh</w:t>
            </w:r>
            <w:r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="00DB6ADC" w:rsidRPr="00D12369">
              <w:rPr>
                <w:rFonts w:ascii="Trebuchet MS" w:eastAsia="Trebuchet MS" w:hAnsi="Trebuchet MS" w:cs="Trebuchet MS"/>
                <w:b/>
              </w:rPr>
              <w:t>rbimin studentor p</w:t>
            </w:r>
            <w:r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="00DB6ADC" w:rsidRPr="00D12369">
              <w:rPr>
                <w:rFonts w:ascii="Trebuchet MS" w:eastAsia="Trebuchet MS" w:hAnsi="Trebuchet MS" w:cs="Trebuchet MS"/>
                <w:b/>
              </w:rPr>
              <w:t>r t</w:t>
            </w:r>
            <w:r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="00DB6ADC" w:rsidRPr="00D12369">
              <w:rPr>
                <w:rFonts w:ascii="Trebuchet MS" w:eastAsia="Trebuchet MS" w:hAnsi="Trebuchet MS" w:cs="Trebuchet MS"/>
                <w:b/>
              </w:rPr>
              <w:t xml:space="preserve"> t</w:t>
            </w:r>
            <w:r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="00DB6ADC" w:rsidRPr="00D12369">
              <w:rPr>
                <w:rFonts w:ascii="Trebuchet MS" w:eastAsia="Trebuchet MS" w:hAnsi="Trebuchet MS" w:cs="Trebuchet MS"/>
                <w:b/>
              </w:rPr>
              <w:t xml:space="preserve">rhjekur </w:t>
            </w:r>
            <w:r w:rsidRPr="00D12369">
              <w:rPr>
                <w:rFonts w:ascii="Trebuchet MS" w:eastAsia="Trebuchet MS" w:hAnsi="Trebuchet MS" w:cs="Trebuchet MS"/>
                <w:b/>
              </w:rPr>
              <w:t>ç</w:t>
            </w:r>
            <w:r w:rsidR="00DB6ADC" w:rsidRPr="00D12369">
              <w:rPr>
                <w:rFonts w:ascii="Trebuchet MS" w:eastAsia="Trebuchet MS" w:hAnsi="Trebuchet MS" w:cs="Trebuchet MS"/>
                <w:b/>
              </w:rPr>
              <w:t>ertifikat</w:t>
            </w:r>
            <w:r w:rsidR="001C1361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="00DB6ADC" w:rsidRPr="00D12369">
              <w:rPr>
                <w:rFonts w:ascii="Trebuchet MS" w:eastAsia="Trebuchet MS" w:hAnsi="Trebuchet MS" w:cs="Trebuchet MS"/>
                <w:b/>
              </w:rPr>
              <w:t>n dhe raportin e diplom</w:t>
            </w:r>
            <w:r w:rsidR="001C1361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="00DB6ADC" w:rsidRPr="00D12369">
              <w:rPr>
                <w:rFonts w:ascii="Trebuchet MS" w:eastAsia="Trebuchet MS" w:hAnsi="Trebuchet MS" w:cs="Trebuchet MS"/>
                <w:b/>
              </w:rPr>
              <w:t>s. Me k</w:t>
            </w:r>
            <w:r w:rsidR="001C1361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="00DB6ADC" w:rsidRPr="00D12369">
              <w:rPr>
                <w:rFonts w:ascii="Trebuchet MS" w:eastAsia="Trebuchet MS" w:hAnsi="Trebuchet MS" w:cs="Trebuchet MS"/>
                <w:b/>
              </w:rPr>
              <w:t>to</w:t>
            </w:r>
            <w:r w:rsidR="001C1361" w:rsidRPr="00D12369">
              <w:rPr>
                <w:rFonts w:ascii="Trebuchet MS" w:eastAsia="Trebuchet MS" w:hAnsi="Trebuchet MS" w:cs="Trebuchet MS"/>
                <w:b/>
              </w:rPr>
              <w:t xml:space="preserve"> dokumente,</w:t>
            </w:r>
            <w:r w:rsidR="00DB6ADC" w:rsidRPr="00D12369">
              <w:rPr>
                <w:rFonts w:ascii="Trebuchet MS" w:eastAsia="Trebuchet MS" w:hAnsi="Trebuchet MS" w:cs="Trebuchet MS"/>
                <w:b/>
              </w:rPr>
              <w:t xml:space="preserve"> lajm</w:t>
            </w:r>
            <w:r w:rsidR="001C1361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="00DB6ADC" w:rsidRPr="00D12369">
              <w:rPr>
                <w:rFonts w:ascii="Trebuchet MS" w:eastAsia="Trebuchet MS" w:hAnsi="Trebuchet MS" w:cs="Trebuchet MS"/>
                <w:b/>
              </w:rPr>
              <w:t>rohet n</w:t>
            </w:r>
            <w:r w:rsidR="001C1361" w:rsidRPr="00D12369">
              <w:rPr>
                <w:rFonts w:ascii="Trebuchet MS" w:eastAsia="Trebuchet MS" w:hAnsi="Trebuchet MS" w:cs="Trebuchet MS"/>
                <w:b/>
              </w:rPr>
              <w:t>ë</w:t>
            </w:r>
            <w:r w:rsidR="00DB6ADC" w:rsidRPr="00D12369">
              <w:rPr>
                <w:rFonts w:ascii="Trebuchet MS" w:eastAsia="Trebuchet MS" w:hAnsi="Trebuchet MS" w:cs="Trebuchet MS"/>
                <w:b/>
              </w:rPr>
              <w:t xml:space="preserve"> A</w:t>
            </w:r>
            <w:r w:rsidR="001C1361" w:rsidRPr="00D12369">
              <w:rPr>
                <w:rFonts w:ascii="Trebuchet MS" w:eastAsia="Trebuchet MS" w:hAnsi="Trebuchet MS" w:cs="Trebuchet MS"/>
                <w:b/>
              </w:rPr>
              <w:t xml:space="preserve">dministratën </w:t>
            </w:r>
            <w:r w:rsidR="00DB6ADC" w:rsidRPr="00D12369">
              <w:rPr>
                <w:rFonts w:ascii="Trebuchet MS" w:eastAsia="Trebuchet MS" w:hAnsi="Trebuchet MS" w:cs="Trebuchet MS"/>
                <w:b/>
              </w:rPr>
              <w:t>Q</w:t>
            </w:r>
            <w:r w:rsidR="001C1361" w:rsidRPr="00D12369">
              <w:rPr>
                <w:rFonts w:ascii="Trebuchet MS" w:eastAsia="Trebuchet MS" w:hAnsi="Trebuchet MS" w:cs="Trebuchet MS"/>
                <w:b/>
              </w:rPr>
              <w:t>endore.</w:t>
            </w:r>
          </w:p>
        </w:tc>
      </w:tr>
    </w:tbl>
    <w:p w14:paraId="03B94C15" w14:textId="77777777" w:rsidR="002C0E2D" w:rsidRPr="002C0E2D" w:rsidRDefault="002C0E2D" w:rsidP="002C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8795F" w14:textId="77777777" w:rsidR="002C0E2D" w:rsidRDefault="002C0E2D">
      <w:pPr>
        <w:ind w:left="720"/>
        <w:rPr>
          <w:rFonts w:ascii="Trebuchet MS" w:eastAsia="Trebuchet MS" w:hAnsi="Trebuchet MS" w:cs="Trebuchet MS"/>
          <w:sz w:val="20"/>
          <w:szCs w:val="20"/>
        </w:rPr>
      </w:pPr>
    </w:p>
    <w:sectPr w:rsidR="002C0E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750"/>
    <w:multiLevelType w:val="multilevel"/>
    <w:tmpl w:val="E7FC4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558C"/>
    <w:multiLevelType w:val="multilevel"/>
    <w:tmpl w:val="650C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A562F"/>
    <w:multiLevelType w:val="multilevel"/>
    <w:tmpl w:val="2DAEE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A56D3"/>
    <w:multiLevelType w:val="multilevel"/>
    <w:tmpl w:val="41FE0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2678F"/>
    <w:multiLevelType w:val="multilevel"/>
    <w:tmpl w:val="5C78C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A3591"/>
    <w:multiLevelType w:val="multilevel"/>
    <w:tmpl w:val="79CCF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C4DE9"/>
    <w:multiLevelType w:val="multilevel"/>
    <w:tmpl w:val="4170C9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1D"/>
    <w:rsid w:val="0001636F"/>
    <w:rsid w:val="0006196A"/>
    <w:rsid w:val="000A3CDA"/>
    <w:rsid w:val="00133F39"/>
    <w:rsid w:val="001C1361"/>
    <w:rsid w:val="001E2C3F"/>
    <w:rsid w:val="002921BC"/>
    <w:rsid w:val="002B399D"/>
    <w:rsid w:val="002C0E2D"/>
    <w:rsid w:val="002F01FE"/>
    <w:rsid w:val="00343AF9"/>
    <w:rsid w:val="003A5155"/>
    <w:rsid w:val="00435140"/>
    <w:rsid w:val="004D549D"/>
    <w:rsid w:val="005158E9"/>
    <w:rsid w:val="00551573"/>
    <w:rsid w:val="00624CCF"/>
    <w:rsid w:val="00683C13"/>
    <w:rsid w:val="006B16A1"/>
    <w:rsid w:val="006F7C11"/>
    <w:rsid w:val="00722295"/>
    <w:rsid w:val="008229E0"/>
    <w:rsid w:val="009520E7"/>
    <w:rsid w:val="00971C1D"/>
    <w:rsid w:val="009D5584"/>
    <w:rsid w:val="009F4C43"/>
    <w:rsid w:val="00A72DC3"/>
    <w:rsid w:val="00A818A0"/>
    <w:rsid w:val="00B11892"/>
    <w:rsid w:val="00B63962"/>
    <w:rsid w:val="00BB56D7"/>
    <w:rsid w:val="00BC34E3"/>
    <w:rsid w:val="00C25527"/>
    <w:rsid w:val="00C82CE3"/>
    <w:rsid w:val="00D12369"/>
    <w:rsid w:val="00D54C7F"/>
    <w:rsid w:val="00DB6ADC"/>
    <w:rsid w:val="00DF65DC"/>
    <w:rsid w:val="00E53213"/>
    <w:rsid w:val="00E656AA"/>
    <w:rsid w:val="00E71BCA"/>
    <w:rsid w:val="00F12BF5"/>
    <w:rsid w:val="00F179FB"/>
    <w:rsid w:val="00F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68E0"/>
  <w15:docId w15:val="{05F60065-F1FB-5145-8C9E-81182057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D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6D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E2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9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2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21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B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lEa3mQcpa8ZWww1jvAALJR3iw==">AMUW2mUhizxHgnrefK9mzokHO9ys+87z54Db0c7GrPKZ3+G6DsrjAUi7aDMvlfRVU4i2HMPFJbWgIuXBbcptN5WCpvUcZ5n1THCNOmCq5Ppg5P81FXBocak=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0D9CA3-699F-4821-80FB-84B0C635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Taulant</dc:creator>
  <cp:lastModifiedBy>Blerta Perolli Shehu</cp:lastModifiedBy>
  <cp:revision>2</cp:revision>
  <dcterms:created xsi:type="dcterms:W3CDTF">2022-11-04T10:03:00Z</dcterms:created>
  <dcterms:modified xsi:type="dcterms:W3CDTF">2022-11-04T10:03:00Z</dcterms:modified>
</cp:coreProperties>
</file>